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AA392" w14:textId="6D9A179F" w:rsidR="00FB1395" w:rsidRPr="00FA56FF" w:rsidRDefault="00FB1395" w:rsidP="00520867">
      <w:pPr>
        <w:suppressLineNumbers/>
        <w:spacing w:line="240" w:lineRule="auto"/>
        <w:jc w:val="center"/>
        <w:rPr>
          <w:b/>
        </w:rPr>
      </w:pPr>
      <w:r w:rsidRPr="00FA56FF">
        <w:rPr>
          <w:b/>
        </w:rPr>
        <w:t xml:space="preserve">SOAH DOCKET NO. </w:t>
      </w:r>
      <w:r w:rsidR="001530F6">
        <w:rPr>
          <w:b/>
        </w:rPr>
        <w:t>473-</w:t>
      </w:r>
      <w:r w:rsidR="00E0078D">
        <w:rPr>
          <w:b/>
        </w:rPr>
        <w:t>21</w:t>
      </w:r>
      <w:r w:rsidR="001530F6">
        <w:rPr>
          <w:b/>
        </w:rPr>
        <w:t>-</w:t>
      </w:r>
      <w:r w:rsidR="00E0078D">
        <w:rPr>
          <w:b/>
        </w:rPr>
        <w:t>2606</w:t>
      </w:r>
    </w:p>
    <w:p w14:paraId="21C82D5C" w14:textId="79D70883" w:rsidR="002E7350" w:rsidRPr="00FA56FF" w:rsidRDefault="002E7350" w:rsidP="00520867">
      <w:pPr>
        <w:suppressLineNumbers/>
        <w:spacing w:line="240" w:lineRule="auto"/>
        <w:jc w:val="center"/>
        <w:rPr>
          <w:b/>
        </w:rPr>
      </w:pPr>
      <w:r w:rsidRPr="00FA56FF">
        <w:rPr>
          <w:b/>
        </w:rPr>
        <w:t xml:space="preserve">PUC DOCKET NO. </w:t>
      </w:r>
      <w:r w:rsidR="00E0078D">
        <w:rPr>
          <w:b/>
        </w:rPr>
        <w:t>52195</w:t>
      </w:r>
    </w:p>
    <w:p w14:paraId="1780F6CB" w14:textId="77777777" w:rsidR="00560ABF" w:rsidRPr="00436265" w:rsidRDefault="00560ABF" w:rsidP="00520867">
      <w:pPr>
        <w:suppressLineNumbers/>
        <w:spacing w:line="240" w:lineRule="auto"/>
        <w:jc w:val="center"/>
        <w:rPr>
          <w:b/>
          <w:sz w:val="22"/>
          <w:szCs w:val="22"/>
        </w:rPr>
      </w:pPr>
    </w:p>
    <w:tbl>
      <w:tblPr>
        <w:tblW w:w="10080" w:type="dxa"/>
        <w:jc w:val="center"/>
        <w:tblLook w:val="01E0" w:firstRow="1" w:lastRow="1" w:firstColumn="1" w:lastColumn="1" w:noHBand="0" w:noVBand="0"/>
      </w:tblPr>
      <w:tblGrid>
        <w:gridCol w:w="4680"/>
        <w:gridCol w:w="720"/>
        <w:gridCol w:w="4680"/>
      </w:tblGrid>
      <w:tr w:rsidR="0043384F" w:rsidRPr="0043384F" w14:paraId="31A08A0E" w14:textId="77777777" w:rsidTr="0043384F">
        <w:trPr>
          <w:trHeight w:val="1440"/>
          <w:jc w:val="center"/>
        </w:trPr>
        <w:tc>
          <w:tcPr>
            <w:tcW w:w="4680" w:type="dxa"/>
          </w:tcPr>
          <w:p w14:paraId="52893B74" w14:textId="0485D9FF" w:rsidR="0043384F" w:rsidRPr="0043384F" w:rsidRDefault="0043384F" w:rsidP="0043384F">
            <w:pPr>
              <w:spacing w:line="240" w:lineRule="auto"/>
              <w:rPr>
                <w:rFonts w:ascii="Times New Roman Bold" w:hAnsi="Times New Roman Bold"/>
                <w:b/>
                <w:bCs/>
                <w:caps/>
              </w:rPr>
            </w:pPr>
            <w:r w:rsidRPr="0043384F">
              <w:rPr>
                <w:b/>
                <w:bCs/>
              </w:rPr>
              <w:t xml:space="preserve">APPLICATION OF </w:t>
            </w:r>
            <w:r w:rsidR="00E0078D">
              <w:rPr>
                <w:b/>
                <w:bCs/>
              </w:rPr>
              <w:t>EL PASO ELECTRIC COMPANY</w:t>
            </w:r>
            <w:r w:rsidRPr="0043384F">
              <w:rPr>
                <w:b/>
                <w:bCs/>
              </w:rPr>
              <w:t xml:space="preserve"> TO CHANGE RATES</w:t>
            </w:r>
          </w:p>
        </w:tc>
        <w:tc>
          <w:tcPr>
            <w:tcW w:w="720" w:type="dxa"/>
          </w:tcPr>
          <w:p w14:paraId="75BAA20F" w14:textId="77777777" w:rsidR="0043384F" w:rsidRPr="0043384F" w:rsidRDefault="0043384F" w:rsidP="0043384F">
            <w:pPr>
              <w:spacing w:line="240" w:lineRule="auto"/>
              <w:jc w:val="center"/>
              <w:rPr>
                <w:b/>
              </w:rPr>
            </w:pPr>
            <w:r w:rsidRPr="0043384F">
              <w:rPr>
                <w:b/>
              </w:rPr>
              <w:t>§</w:t>
            </w:r>
          </w:p>
          <w:p w14:paraId="13E82040" w14:textId="77777777" w:rsidR="0043384F" w:rsidRPr="0043384F" w:rsidRDefault="0043384F" w:rsidP="0043384F">
            <w:pPr>
              <w:spacing w:line="240" w:lineRule="auto"/>
              <w:jc w:val="center"/>
              <w:rPr>
                <w:b/>
              </w:rPr>
            </w:pPr>
            <w:r w:rsidRPr="0043384F">
              <w:rPr>
                <w:b/>
              </w:rPr>
              <w:t>§</w:t>
            </w:r>
          </w:p>
          <w:p w14:paraId="4B29E209" w14:textId="77777777" w:rsidR="0043384F" w:rsidRPr="0043384F" w:rsidRDefault="0043384F" w:rsidP="0043384F">
            <w:pPr>
              <w:spacing w:line="240" w:lineRule="auto"/>
              <w:jc w:val="center"/>
              <w:rPr>
                <w:b/>
              </w:rPr>
            </w:pPr>
            <w:r w:rsidRPr="0043384F">
              <w:rPr>
                <w:b/>
              </w:rPr>
              <w:t>§</w:t>
            </w:r>
          </w:p>
          <w:p w14:paraId="20D1423F" w14:textId="77777777" w:rsidR="0043384F" w:rsidRPr="0043384F" w:rsidRDefault="0043384F" w:rsidP="0043384F">
            <w:pPr>
              <w:spacing w:line="240" w:lineRule="auto"/>
              <w:jc w:val="center"/>
              <w:rPr>
                <w:b/>
              </w:rPr>
            </w:pPr>
          </w:p>
        </w:tc>
        <w:tc>
          <w:tcPr>
            <w:tcW w:w="4680" w:type="dxa"/>
          </w:tcPr>
          <w:p w14:paraId="6550C491" w14:textId="77777777" w:rsidR="0043384F" w:rsidRDefault="00464D1C" w:rsidP="0043384F">
            <w:pPr>
              <w:keepNext/>
              <w:widowControl/>
              <w:tabs>
                <w:tab w:val="center" w:pos="4770"/>
                <w:tab w:val="left" w:pos="5400"/>
              </w:tabs>
              <w:autoSpaceDE/>
              <w:autoSpaceDN/>
              <w:adjustRightInd/>
              <w:spacing w:line="240" w:lineRule="auto"/>
              <w:jc w:val="center"/>
              <w:rPr>
                <w:rFonts w:eastAsia="Times New Roman"/>
                <w:b/>
                <w:bCs/>
                <w:caps/>
                <w:szCs w:val="20"/>
              </w:rPr>
            </w:pPr>
            <w:r>
              <w:rPr>
                <w:rFonts w:eastAsia="Times New Roman"/>
                <w:b/>
                <w:bCs/>
                <w:caps/>
                <w:szCs w:val="20"/>
              </w:rPr>
              <w:t>bEFORE THE STATE OFFICE</w:t>
            </w:r>
          </w:p>
          <w:p w14:paraId="7A599221" w14:textId="77777777" w:rsidR="00464D1C" w:rsidRDefault="00464D1C" w:rsidP="0043384F">
            <w:pPr>
              <w:keepNext/>
              <w:widowControl/>
              <w:tabs>
                <w:tab w:val="center" w:pos="4770"/>
                <w:tab w:val="left" w:pos="5400"/>
              </w:tabs>
              <w:autoSpaceDE/>
              <w:autoSpaceDN/>
              <w:adjustRightInd/>
              <w:spacing w:line="240" w:lineRule="auto"/>
              <w:jc w:val="center"/>
              <w:rPr>
                <w:rFonts w:eastAsia="Times New Roman"/>
                <w:b/>
                <w:bCs/>
                <w:caps/>
                <w:szCs w:val="20"/>
              </w:rPr>
            </w:pPr>
            <w:r>
              <w:rPr>
                <w:rFonts w:eastAsia="Times New Roman"/>
                <w:b/>
                <w:bCs/>
                <w:caps/>
                <w:szCs w:val="20"/>
              </w:rPr>
              <w:t>OF</w:t>
            </w:r>
          </w:p>
          <w:p w14:paraId="7E5C2FBE" w14:textId="1BFACD30" w:rsidR="00464D1C" w:rsidRPr="0043384F" w:rsidRDefault="00464D1C" w:rsidP="0043384F">
            <w:pPr>
              <w:keepNext/>
              <w:widowControl/>
              <w:tabs>
                <w:tab w:val="center" w:pos="4770"/>
                <w:tab w:val="left" w:pos="5400"/>
              </w:tabs>
              <w:autoSpaceDE/>
              <w:autoSpaceDN/>
              <w:adjustRightInd/>
              <w:spacing w:line="240" w:lineRule="auto"/>
              <w:jc w:val="center"/>
              <w:rPr>
                <w:rFonts w:eastAsia="Times New Roman"/>
                <w:b/>
                <w:bCs/>
                <w:caps/>
                <w:szCs w:val="20"/>
              </w:rPr>
            </w:pPr>
            <w:r>
              <w:rPr>
                <w:rFonts w:eastAsia="Times New Roman"/>
                <w:b/>
                <w:bCs/>
                <w:caps/>
                <w:szCs w:val="20"/>
              </w:rPr>
              <w:t>ADMINISTRATIVE HEARINGS</w:t>
            </w:r>
          </w:p>
        </w:tc>
      </w:tr>
    </w:tbl>
    <w:p w14:paraId="49889174" w14:textId="77777777" w:rsidR="00560ABF" w:rsidRPr="00436265" w:rsidRDefault="00560ABF" w:rsidP="00520867">
      <w:pPr>
        <w:suppressLineNumbers/>
        <w:spacing w:line="240" w:lineRule="auto"/>
        <w:jc w:val="center"/>
        <w:rPr>
          <w:sz w:val="22"/>
          <w:szCs w:val="22"/>
          <w:highlight w:val="yellow"/>
        </w:rPr>
        <w:sectPr w:rsidR="00560ABF" w:rsidRPr="00436265" w:rsidSect="0043384F">
          <w:headerReference w:type="default" r:id="rId8"/>
          <w:footerReference w:type="default" r:id="rId9"/>
          <w:pgSz w:w="12240" w:h="15840" w:code="1"/>
          <w:pgMar w:top="1440" w:right="1440" w:bottom="1440" w:left="1440" w:header="0" w:footer="360" w:gutter="0"/>
          <w:cols w:space="720"/>
          <w:titlePg/>
          <w:docGrid w:linePitch="326"/>
        </w:sectPr>
      </w:pPr>
    </w:p>
    <w:p w14:paraId="61A1B5EB" w14:textId="77777777" w:rsidR="00562BA4" w:rsidRPr="00C12C13" w:rsidRDefault="00562BA4" w:rsidP="0043384F">
      <w:pPr>
        <w:suppressLineNumbers/>
        <w:tabs>
          <w:tab w:val="left" w:pos="3510"/>
        </w:tabs>
        <w:spacing w:line="240" w:lineRule="auto"/>
        <w:rPr>
          <w:sz w:val="22"/>
          <w:szCs w:val="22"/>
        </w:rPr>
        <w:sectPr w:rsidR="00562BA4" w:rsidRPr="00C12C13" w:rsidSect="00B97ABA">
          <w:headerReference w:type="default" r:id="rId10"/>
          <w:type w:val="continuous"/>
          <w:pgSz w:w="12240" w:h="15840" w:code="1"/>
          <w:pgMar w:top="1440" w:right="1440" w:bottom="1440" w:left="1440" w:header="1440" w:footer="360" w:gutter="0"/>
          <w:cols w:num="3" w:space="720" w:equalWidth="0">
            <w:col w:w="4410" w:space="90"/>
            <w:col w:w="450" w:space="90"/>
            <w:col w:w="3366"/>
          </w:cols>
          <w:docGrid w:linePitch="326"/>
        </w:sectPr>
      </w:pPr>
    </w:p>
    <w:p w14:paraId="13CCE86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B1043FD" wp14:editId="2A0D197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36FC0D02" w14:textId="68E3FCBB" w:rsidR="00560ABF" w:rsidRDefault="00560ABF" w:rsidP="0043384F">
      <w:pPr>
        <w:suppressLineNumbers/>
        <w:spacing w:line="240" w:lineRule="auto"/>
        <w:rPr>
          <w:b/>
          <w:bCs/>
        </w:rPr>
      </w:pPr>
    </w:p>
    <w:p w14:paraId="0D638327" w14:textId="47A8F5A9" w:rsidR="0043384F" w:rsidRDefault="0043384F" w:rsidP="0043384F">
      <w:pPr>
        <w:suppressLineNumbers/>
        <w:spacing w:line="240" w:lineRule="auto"/>
        <w:rPr>
          <w:b/>
          <w:bCs/>
        </w:rPr>
      </w:pPr>
    </w:p>
    <w:p w14:paraId="37E53760" w14:textId="6F49C612" w:rsidR="0043384F" w:rsidRDefault="0043384F" w:rsidP="0043384F">
      <w:pPr>
        <w:suppressLineNumbers/>
        <w:spacing w:line="240" w:lineRule="auto"/>
        <w:rPr>
          <w:b/>
          <w:bCs/>
        </w:rPr>
      </w:pPr>
    </w:p>
    <w:p w14:paraId="7C4091AD" w14:textId="5421A4D7" w:rsidR="0043384F" w:rsidRDefault="0043384F" w:rsidP="0043384F">
      <w:pPr>
        <w:suppressLineNumbers/>
        <w:spacing w:line="240" w:lineRule="auto"/>
        <w:rPr>
          <w:b/>
          <w:bCs/>
        </w:rPr>
      </w:pPr>
    </w:p>
    <w:p w14:paraId="29BDA3D9" w14:textId="77777777" w:rsidR="0043384F" w:rsidRPr="0043384F" w:rsidRDefault="0043384F" w:rsidP="0043384F">
      <w:pPr>
        <w:suppressLineNumbers/>
        <w:spacing w:line="240" w:lineRule="auto"/>
        <w:rPr>
          <w:b/>
          <w:bCs/>
        </w:rPr>
      </w:pPr>
    </w:p>
    <w:p w14:paraId="7D683C8A" w14:textId="6B4DFF2B" w:rsidR="00562BA4" w:rsidRPr="00C12C13" w:rsidRDefault="00562BA4" w:rsidP="0043384F">
      <w:pPr>
        <w:suppressLineNumbers/>
        <w:spacing w:line="240" w:lineRule="auto"/>
        <w:jc w:val="center"/>
        <w:rPr>
          <w:b/>
          <w:bCs/>
          <w:sz w:val="22"/>
          <w:szCs w:val="22"/>
        </w:rPr>
      </w:pPr>
      <w:r w:rsidRPr="00C12C13">
        <w:rPr>
          <w:b/>
          <w:bCs/>
          <w:sz w:val="22"/>
          <w:szCs w:val="22"/>
        </w:rPr>
        <w:t>DIRECT TESTIMONY OF</w:t>
      </w:r>
      <w:r w:rsidR="0043384F">
        <w:rPr>
          <w:b/>
          <w:bCs/>
          <w:sz w:val="22"/>
          <w:szCs w:val="22"/>
        </w:rPr>
        <w:t xml:space="preserve"> </w:t>
      </w:r>
      <w:r w:rsidR="00623116" w:rsidRPr="00C12C13">
        <w:rPr>
          <w:b/>
          <w:bCs/>
          <w:sz w:val="22"/>
          <w:szCs w:val="22"/>
        </w:rPr>
        <w:t>EMILY SEARS</w:t>
      </w:r>
    </w:p>
    <w:p w14:paraId="22E775C4" w14:textId="23AF5839" w:rsidR="00562BA4" w:rsidRPr="00C12C13" w:rsidRDefault="00B4251B" w:rsidP="00520867">
      <w:pPr>
        <w:suppressLineNumbers/>
        <w:spacing w:line="240" w:lineRule="auto"/>
        <w:jc w:val="center"/>
        <w:rPr>
          <w:b/>
          <w:bCs/>
          <w:sz w:val="22"/>
          <w:szCs w:val="22"/>
        </w:rPr>
      </w:pPr>
      <w:r>
        <w:rPr>
          <w:b/>
          <w:bCs/>
          <w:sz w:val="22"/>
          <w:szCs w:val="22"/>
        </w:rPr>
        <w:t>RATE</w:t>
      </w:r>
      <w:r w:rsidR="00562BA4" w:rsidRPr="00C12C13">
        <w:rPr>
          <w:b/>
          <w:bCs/>
          <w:sz w:val="22"/>
          <w:szCs w:val="22"/>
        </w:rPr>
        <w:t xml:space="preserve"> </w:t>
      </w:r>
      <w:r w:rsidR="00CD6441">
        <w:rPr>
          <w:b/>
          <w:bCs/>
          <w:sz w:val="22"/>
          <w:szCs w:val="22"/>
        </w:rPr>
        <w:t>REGULATION</w:t>
      </w:r>
      <w:r w:rsidR="0043384F">
        <w:rPr>
          <w:b/>
          <w:bCs/>
          <w:sz w:val="22"/>
          <w:szCs w:val="22"/>
        </w:rPr>
        <w:t xml:space="preserve"> DIVISION</w:t>
      </w:r>
    </w:p>
    <w:p w14:paraId="249DAEF4" w14:textId="77777777" w:rsidR="00562BA4" w:rsidRPr="00E839F1"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 xml:space="preserve">LITY COMMISSION OF </w:t>
      </w:r>
      <w:r w:rsidRPr="00E839F1">
        <w:rPr>
          <w:b/>
          <w:bCs/>
          <w:sz w:val="22"/>
          <w:szCs w:val="22"/>
        </w:rPr>
        <w:t>TEXAS</w:t>
      </w:r>
    </w:p>
    <w:p w14:paraId="504D9CCF" w14:textId="54D48962" w:rsidR="0043384F" w:rsidRDefault="003575C6" w:rsidP="0043384F">
      <w:pPr>
        <w:suppressLineNumbers/>
        <w:spacing w:line="240" w:lineRule="auto"/>
        <w:jc w:val="center"/>
        <w:rPr>
          <w:b/>
          <w:bCs/>
          <w:sz w:val="22"/>
          <w:szCs w:val="22"/>
        </w:rPr>
      </w:pPr>
      <w:r>
        <w:rPr>
          <w:b/>
          <w:bCs/>
          <w:sz w:val="22"/>
          <w:szCs w:val="22"/>
        </w:rPr>
        <w:t>OCTOBER</w:t>
      </w:r>
      <w:r w:rsidR="00E839F1" w:rsidRPr="00E839F1">
        <w:rPr>
          <w:b/>
          <w:bCs/>
          <w:sz w:val="22"/>
          <w:szCs w:val="22"/>
        </w:rPr>
        <w:t xml:space="preserve"> </w:t>
      </w:r>
      <w:r>
        <w:rPr>
          <w:b/>
          <w:bCs/>
          <w:sz w:val="22"/>
          <w:szCs w:val="22"/>
        </w:rPr>
        <w:t>29</w:t>
      </w:r>
      <w:r w:rsidR="00E839F1" w:rsidRPr="00E839F1">
        <w:rPr>
          <w:b/>
          <w:bCs/>
          <w:sz w:val="22"/>
          <w:szCs w:val="22"/>
        </w:rPr>
        <w:t>, 202</w:t>
      </w:r>
      <w:r w:rsidR="00464D1C">
        <w:rPr>
          <w:b/>
          <w:bCs/>
          <w:sz w:val="22"/>
          <w:szCs w:val="22"/>
        </w:rPr>
        <w:t>1</w:t>
      </w:r>
    </w:p>
    <w:p w14:paraId="668CD56D" w14:textId="77777777" w:rsidR="0043384F" w:rsidRDefault="0043384F">
      <w:pPr>
        <w:widowControl/>
        <w:autoSpaceDE/>
        <w:autoSpaceDN/>
        <w:adjustRightInd/>
        <w:spacing w:after="200" w:line="276" w:lineRule="auto"/>
        <w:rPr>
          <w:b/>
          <w:bCs/>
          <w:sz w:val="22"/>
          <w:szCs w:val="22"/>
        </w:rPr>
      </w:pPr>
      <w:r>
        <w:rPr>
          <w:b/>
          <w:bCs/>
          <w:sz w:val="22"/>
          <w:szCs w:val="22"/>
        </w:rPr>
        <w:br w:type="page"/>
      </w:r>
    </w:p>
    <w:p w14:paraId="7406265C" w14:textId="77777777" w:rsidR="0043384F" w:rsidRPr="0043384F" w:rsidRDefault="0043384F" w:rsidP="0043384F">
      <w:pPr>
        <w:suppressLineNumbers/>
        <w:spacing w:line="240" w:lineRule="auto"/>
        <w:jc w:val="center"/>
        <w:rPr>
          <w:b/>
          <w:bCs/>
          <w:sz w:val="22"/>
          <w:szCs w:val="22"/>
        </w:rPr>
        <w:sectPr w:rsidR="0043384F" w:rsidRPr="0043384F" w:rsidSect="00B97ABA">
          <w:type w:val="continuous"/>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27514FA4" w14:textId="77777777" w:rsidR="0043384F" w:rsidRDefault="0043384F" w:rsidP="0043384F">
          <w:pPr>
            <w:pStyle w:val="TOCHeading"/>
            <w:numPr>
              <w:ilvl w:val="0"/>
              <w:numId w:val="0"/>
            </w:numPr>
            <w:suppressLineNumbers/>
            <w:spacing w:before="0" w:line="240" w:lineRule="auto"/>
            <w:jc w:val="center"/>
            <w:rPr>
              <w:rFonts w:ascii="Times New Roman" w:eastAsiaTheme="minorEastAsia" w:hAnsi="Times New Roman" w:cs="Times New Roman"/>
              <w:b w:val="0"/>
              <w:bCs w:val="0"/>
              <w:color w:val="auto"/>
              <w:sz w:val="24"/>
              <w:szCs w:val="24"/>
              <w:lang w:eastAsia="en-US"/>
            </w:rPr>
          </w:pPr>
        </w:p>
        <w:p w14:paraId="49635A78" w14:textId="77777777" w:rsidR="0043384F" w:rsidRDefault="0043384F" w:rsidP="0043384F">
          <w:pPr>
            <w:pStyle w:val="TOCHeading"/>
            <w:numPr>
              <w:ilvl w:val="0"/>
              <w:numId w:val="0"/>
            </w:numPr>
            <w:suppressLineNumbers/>
            <w:spacing w:before="0" w:line="240" w:lineRule="auto"/>
            <w:jc w:val="center"/>
            <w:rPr>
              <w:rFonts w:ascii="Times New Roman" w:eastAsiaTheme="minorEastAsia" w:hAnsi="Times New Roman" w:cs="Times New Roman"/>
              <w:b w:val="0"/>
              <w:bCs w:val="0"/>
              <w:color w:val="auto"/>
              <w:sz w:val="24"/>
              <w:szCs w:val="24"/>
              <w:lang w:eastAsia="en-US"/>
            </w:rPr>
          </w:pPr>
        </w:p>
        <w:p w14:paraId="7BFAEF54" w14:textId="23AE3F21" w:rsidR="0043384F" w:rsidRDefault="0043384F" w:rsidP="0043384F">
          <w:pPr>
            <w:pStyle w:val="TOCHeading"/>
            <w:numPr>
              <w:ilvl w:val="0"/>
              <w:numId w:val="0"/>
            </w:numPr>
            <w:suppressLineNumbers/>
            <w:spacing w:before="0" w:line="240" w:lineRule="auto"/>
            <w:jc w:val="center"/>
            <w:rPr>
              <w:rFonts w:ascii="Times New Roman" w:hAnsi="Times New Roman" w:cs="Times New Roman"/>
              <w:color w:val="auto"/>
            </w:rPr>
          </w:pPr>
          <w:r>
            <w:rPr>
              <w:rFonts w:ascii="Times New Roman" w:hAnsi="Times New Roman" w:cs="Times New Roman"/>
              <w:color w:val="auto"/>
            </w:rPr>
            <w:t>TABLE OF CONTENTS</w:t>
          </w:r>
        </w:p>
        <w:p w14:paraId="6EB889E3" w14:textId="77777777" w:rsidR="0043384F" w:rsidRPr="0043384F" w:rsidRDefault="0043384F" w:rsidP="0043384F">
          <w:pPr>
            <w:suppressLineNumbers/>
            <w:spacing w:line="240" w:lineRule="auto"/>
            <w:rPr>
              <w:lang w:eastAsia="ja-JP"/>
            </w:rPr>
          </w:pPr>
        </w:p>
        <w:p w14:paraId="401DE622" w14:textId="02B8B413" w:rsidR="00081146" w:rsidRDefault="005B29FB">
          <w:pPr>
            <w:pStyle w:val="TOC1"/>
            <w:rPr>
              <w:rFonts w:asciiTheme="minorHAnsi" w:hAnsiTheme="minorHAnsi" w:cstheme="minorBidi"/>
              <w:noProof/>
              <w:sz w:val="22"/>
              <w:szCs w:val="22"/>
            </w:rPr>
          </w:pPr>
          <w:r>
            <w:fldChar w:fldCharType="begin"/>
          </w:r>
          <w:r>
            <w:instrText xml:space="preserve"> TOC \o "1-3" \h \z \u </w:instrText>
          </w:r>
          <w:r>
            <w:fldChar w:fldCharType="separate"/>
          </w:r>
          <w:hyperlink w:anchor="_Toc85035557" w:history="1">
            <w:r w:rsidR="00081146" w:rsidRPr="0062084A">
              <w:rPr>
                <w:rStyle w:val="Hyperlink"/>
                <w:noProof/>
              </w:rPr>
              <w:t>I.</w:t>
            </w:r>
            <w:r w:rsidR="00081146">
              <w:rPr>
                <w:rFonts w:asciiTheme="minorHAnsi" w:hAnsiTheme="minorHAnsi" w:cstheme="minorBidi"/>
                <w:noProof/>
                <w:sz w:val="22"/>
                <w:szCs w:val="22"/>
              </w:rPr>
              <w:tab/>
            </w:r>
            <w:r w:rsidR="00081146" w:rsidRPr="0062084A">
              <w:rPr>
                <w:rStyle w:val="Hyperlink"/>
                <w:noProof/>
              </w:rPr>
              <w:t>INTRODUCTION OF WITNESS</w:t>
            </w:r>
            <w:r w:rsidR="00081146">
              <w:rPr>
                <w:noProof/>
                <w:webHidden/>
              </w:rPr>
              <w:tab/>
            </w:r>
            <w:r w:rsidR="00081146">
              <w:rPr>
                <w:noProof/>
                <w:webHidden/>
              </w:rPr>
              <w:fldChar w:fldCharType="begin"/>
            </w:r>
            <w:r w:rsidR="00081146">
              <w:rPr>
                <w:noProof/>
                <w:webHidden/>
              </w:rPr>
              <w:instrText xml:space="preserve"> PAGEREF _Toc85035557 \h </w:instrText>
            </w:r>
            <w:r w:rsidR="00081146">
              <w:rPr>
                <w:noProof/>
                <w:webHidden/>
              </w:rPr>
            </w:r>
            <w:r w:rsidR="00081146">
              <w:rPr>
                <w:noProof/>
                <w:webHidden/>
              </w:rPr>
              <w:fldChar w:fldCharType="separate"/>
            </w:r>
            <w:r w:rsidR="009E522A">
              <w:rPr>
                <w:noProof/>
                <w:webHidden/>
              </w:rPr>
              <w:t>4</w:t>
            </w:r>
            <w:r w:rsidR="00081146">
              <w:rPr>
                <w:noProof/>
                <w:webHidden/>
              </w:rPr>
              <w:fldChar w:fldCharType="end"/>
            </w:r>
          </w:hyperlink>
        </w:p>
        <w:p w14:paraId="56127639" w14:textId="7A44ED93" w:rsidR="00081146" w:rsidRDefault="00383AE9">
          <w:pPr>
            <w:pStyle w:val="TOC1"/>
            <w:rPr>
              <w:rFonts w:asciiTheme="minorHAnsi" w:hAnsiTheme="minorHAnsi" w:cstheme="minorBidi"/>
              <w:noProof/>
              <w:sz w:val="22"/>
              <w:szCs w:val="22"/>
            </w:rPr>
          </w:pPr>
          <w:hyperlink w:anchor="_Toc85035558" w:history="1">
            <w:r w:rsidR="00081146" w:rsidRPr="0062084A">
              <w:rPr>
                <w:rStyle w:val="Hyperlink"/>
                <w:noProof/>
              </w:rPr>
              <w:t>II.</w:t>
            </w:r>
            <w:r w:rsidR="00081146">
              <w:rPr>
                <w:rFonts w:asciiTheme="minorHAnsi" w:hAnsiTheme="minorHAnsi" w:cstheme="minorBidi"/>
                <w:noProof/>
                <w:sz w:val="22"/>
                <w:szCs w:val="22"/>
              </w:rPr>
              <w:tab/>
            </w:r>
            <w:r w:rsidR="00081146" w:rsidRPr="0062084A">
              <w:rPr>
                <w:rStyle w:val="Hyperlink"/>
                <w:noProof/>
              </w:rPr>
              <w:t>PURPOSE AND SCOPE OF TESTIMONY</w:t>
            </w:r>
            <w:r w:rsidR="00081146">
              <w:rPr>
                <w:noProof/>
                <w:webHidden/>
              </w:rPr>
              <w:tab/>
            </w:r>
            <w:r w:rsidR="00081146">
              <w:rPr>
                <w:noProof/>
                <w:webHidden/>
              </w:rPr>
              <w:fldChar w:fldCharType="begin"/>
            </w:r>
            <w:r w:rsidR="00081146">
              <w:rPr>
                <w:noProof/>
                <w:webHidden/>
              </w:rPr>
              <w:instrText xml:space="preserve"> PAGEREF _Toc85035558 \h </w:instrText>
            </w:r>
            <w:r w:rsidR="00081146">
              <w:rPr>
                <w:noProof/>
                <w:webHidden/>
              </w:rPr>
            </w:r>
            <w:r w:rsidR="00081146">
              <w:rPr>
                <w:noProof/>
                <w:webHidden/>
              </w:rPr>
              <w:fldChar w:fldCharType="separate"/>
            </w:r>
            <w:r w:rsidR="009E522A">
              <w:rPr>
                <w:noProof/>
                <w:webHidden/>
              </w:rPr>
              <w:t>5</w:t>
            </w:r>
            <w:r w:rsidR="00081146">
              <w:rPr>
                <w:noProof/>
                <w:webHidden/>
              </w:rPr>
              <w:fldChar w:fldCharType="end"/>
            </w:r>
          </w:hyperlink>
        </w:p>
        <w:p w14:paraId="1D4E5AAD" w14:textId="5E695E5D" w:rsidR="00081146" w:rsidRDefault="00383AE9">
          <w:pPr>
            <w:pStyle w:val="TOC1"/>
            <w:rPr>
              <w:rFonts w:asciiTheme="minorHAnsi" w:hAnsiTheme="minorHAnsi" w:cstheme="minorBidi"/>
              <w:noProof/>
              <w:sz w:val="22"/>
              <w:szCs w:val="22"/>
            </w:rPr>
          </w:pPr>
          <w:hyperlink w:anchor="_Toc85035559" w:history="1">
            <w:r w:rsidR="00081146" w:rsidRPr="0062084A">
              <w:rPr>
                <w:rStyle w:val="Hyperlink"/>
                <w:noProof/>
              </w:rPr>
              <w:t>III.</w:t>
            </w:r>
            <w:r w:rsidR="00081146">
              <w:rPr>
                <w:rFonts w:asciiTheme="minorHAnsi" w:hAnsiTheme="minorHAnsi" w:cstheme="minorBidi"/>
                <w:noProof/>
                <w:sz w:val="22"/>
                <w:szCs w:val="22"/>
              </w:rPr>
              <w:tab/>
            </w:r>
            <w:r w:rsidR="00081146" w:rsidRPr="0062084A">
              <w:rPr>
                <w:rStyle w:val="Hyperlink"/>
                <w:noProof/>
              </w:rPr>
              <w:t>BACKGROUND</w:t>
            </w:r>
            <w:r w:rsidR="00081146">
              <w:rPr>
                <w:noProof/>
                <w:webHidden/>
              </w:rPr>
              <w:tab/>
            </w:r>
            <w:r w:rsidR="00081146">
              <w:rPr>
                <w:noProof/>
                <w:webHidden/>
              </w:rPr>
              <w:fldChar w:fldCharType="begin"/>
            </w:r>
            <w:r w:rsidR="00081146">
              <w:rPr>
                <w:noProof/>
                <w:webHidden/>
              </w:rPr>
              <w:instrText xml:space="preserve"> PAGEREF _Toc85035559 \h </w:instrText>
            </w:r>
            <w:r w:rsidR="00081146">
              <w:rPr>
                <w:noProof/>
                <w:webHidden/>
              </w:rPr>
            </w:r>
            <w:r w:rsidR="00081146">
              <w:rPr>
                <w:noProof/>
                <w:webHidden/>
              </w:rPr>
              <w:fldChar w:fldCharType="separate"/>
            </w:r>
            <w:r w:rsidR="009E522A">
              <w:rPr>
                <w:noProof/>
                <w:webHidden/>
              </w:rPr>
              <w:t>6</w:t>
            </w:r>
            <w:r w:rsidR="00081146">
              <w:rPr>
                <w:noProof/>
                <w:webHidden/>
              </w:rPr>
              <w:fldChar w:fldCharType="end"/>
            </w:r>
          </w:hyperlink>
        </w:p>
        <w:p w14:paraId="61F95CE3" w14:textId="7DB39DD1" w:rsidR="00081146" w:rsidRDefault="00383AE9">
          <w:pPr>
            <w:pStyle w:val="TOC1"/>
            <w:rPr>
              <w:rFonts w:asciiTheme="minorHAnsi" w:hAnsiTheme="minorHAnsi" w:cstheme="minorBidi"/>
              <w:noProof/>
              <w:sz w:val="22"/>
              <w:szCs w:val="22"/>
            </w:rPr>
          </w:pPr>
          <w:hyperlink w:anchor="_Toc85035560" w:history="1">
            <w:r w:rsidR="00081146" w:rsidRPr="0062084A">
              <w:rPr>
                <w:rStyle w:val="Hyperlink"/>
                <w:noProof/>
              </w:rPr>
              <w:t>IV.</w:t>
            </w:r>
            <w:r w:rsidR="00081146">
              <w:rPr>
                <w:rFonts w:asciiTheme="minorHAnsi" w:hAnsiTheme="minorHAnsi" w:cstheme="minorBidi"/>
                <w:noProof/>
                <w:sz w:val="22"/>
                <w:szCs w:val="22"/>
              </w:rPr>
              <w:tab/>
            </w:r>
            <w:r w:rsidR="00081146" w:rsidRPr="0062084A">
              <w:rPr>
                <w:rStyle w:val="Hyperlink"/>
                <w:noProof/>
              </w:rPr>
              <w:t>SUMMARY OF RECOMMENDATION ON RATE OF RETURN</w:t>
            </w:r>
            <w:r w:rsidR="00081146">
              <w:rPr>
                <w:noProof/>
                <w:webHidden/>
              </w:rPr>
              <w:tab/>
            </w:r>
            <w:r w:rsidR="00081146">
              <w:rPr>
                <w:noProof/>
                <w:webHidden/>
              </w:rPr>
              <w:fldChar w:fldCharType="begin"/>
            </w:r>
            <w:r w:rsidR="00081146">
              <w:rPr>
                <w:noProof/>
                <w:webHidden/>
              </w:rPr>
              <w:instrText xml:space="preserve"> PAGEREF _Toc85035560 \h </w:instrText>
            </w:r>
            <w:r w:rsidR="00081146">
              <w:rPr>
                <w:noProof/>
                <w:webHidden/>
              </w:rPr>
            </w:r>
            <w:r w:rsidR="00081146">
              <w:rPr>
                <w:noProof/>
                <w:webHidden/>
              </w:rPr>
              <w:fldChar w:fldCharType="separate"/>
            </w:r>
            <w:r w:rsidR="009E522A">
              <w:rPr>
                <w:noProof/>
                <w:webHidden/>
              </w:rPr>
              <w:t>6</w:t>
            </w:r>
            <w:r w:rsidR="00081146">
              <w:rPr>
                <w:noProof/>
                <w:webHidden/>
              </w:rPr>
              <w:fldChar w:fldCharType="end"/>
            </w:r>
          </w:hyperlink>
        </w:p>
        <w:p w14:paraId="366D5997" w14:textId="7BF3CD6D" w:rsidR="00081146" w:rsidRDefault="00383AE9">
          <w:pPr>
            <w:pStyle w:val="TOC1"/>
            <w:rPr>
              <w:rFonts w:asciiTheme="minorHAnsi" w:hAnsiTheme="minorHAnsi" w:cstheme="minorBidi"/>
              <w:noProof/>
              <w:sz w:val="22"/>
              <w:szCs w:val="22"/>
            </w:rPr>
          </w:pPr>
          <w:hyperlink w:anchor="_Toc85035561" w:history="1">
            <w:r w:rsidR="00081146" w:rsidRPr="0062084A">
              <w:rPr>
                <w:rStyle w:val="Hyperlink"/>
                <w:noProof/>
              </w:rPr>
              <w:t>V.</w:t>
            </w:r>
            <w:r w:rsidR="00081146">
              <w:rPr>
                <w:rFonts w:asciiTheme="minorHAnsi" w:hAnsiTheme="minorHAnsi" w:cstheme="minorBidi"/>
                <w:noProof/>
                <w:sz w:val="22"/>
                <w:szCs w:val="22"/>
              </w:rPr>
              <w:tab/>
            </w:r>
            <w:r w:rsidR="00081146" w:rsidRPr="0062084A">
              <w:rPr>
                <w:rStyle w:val="Hyperlink"/>
                <w:noProof/>
              </w:rPr>
              <w:t>RATE OF RETURN</w:t>
            </w:r>
            <w:r w:rsidR="00081146">
              <w:rPr>
                <w:noProof/>
                <w:webHidden/>
              </w:rPr>
              <w:tab/>
            </w:r>
            <w:r w:rsidR="00081146">
              <w:rPr>
                <w:noProof/>
                <w:webHidden/>
              </w:rPr>
              <w:fldChar w:fldCharType="begin"/>
            </w:r>
            <w:r w:rsidR="00081146">
              <w:rPr>
                <w:noProof/>
                <w:webHidden/>
              </w:rPr>
              <w:instrText xml:space="preserve"> PAGEREF _Toc85035561 \h </w:instrText>
            </w:r>
            <w:r w:rsidR="00081146">
              <w:rPr>
                <w:noProof/>
                <w:webHidden/>
              </w:rPr>
            </w:r>
            <w:r w:rsidR="00081146">
              <w:rPr>
                <w:noProof/>
                <w:webHidden/>
              </w:rPr>
              <w:fldChar w:fldCharType="separate"/>
            </w:r>
            <w:r w:rsidR="009E522A">
              <w:rPr>
                <w:noProof/>
                <w:webHidden/>
              </w:rPr>
              <w:t>7</w:t>
            </w:r>
            <w:r w:rsidR="00081146">
              <w:rPr>
                <w:noProof/>
                <w:webHidden/>
              </w:rPr>
              <w:fldChar w:fldCharType="end"/>
            </w:r>
          </w:hyperlink>
        </w:p>
        <w:p w14:paraId="1C12C9A1" w14:textId="1483D138" w:rsidR="00081146" w:rsidRDefault="00383AE9">
          <w:pPr>
            <w:pStyle w:val="TOC2"/>
            <w:rPr>
              <w:rFonts w:asciiTheme="minorHAnsi" w:hAnsiTheme="minorHAnsi" w:cstheme="minorBidi"/>
              <w:noProof/>
              <w:sz w:val="22"/>
              <w:szCs w:val="22"/>
            </w:rPr>
          </w:pPr>
          <w:hyperlink w:anchor="_Toc85035562" w:history="1">
            <w:r w:rsidR="00081146" w:rsidRPr="0062084A">
              <w:rPr>
                <w:rStyle w:val="Hyperlink"/>
                <w:noProof/>
              </w:rPr>
              <w:t>A.</w:t>
            </w:r>
            <w:r w:rsidR="00081146">
              <w:rPr>
                <w:rFonts w:asciiTheme="minorHAnsi" w:hAnsiTheme="minorHAnsi" w:cstheme="minorBidi"/>
                <w:noProof/>
                <w:sz w:val="22"/>
                <w:szCs w:val="22"/>
              </w:rPr>
              <w:tab/>
            </w:r>
            <w:r w:rsidR="00081146" w:rsidRPr="0062084A">
              <w:rPr>
                <w:rStyle w:val="Hyperlink"/>
                <w:noProof/>
              </w:rPr>
              <w:t>PRINCIPLES UNDERLYING THE COST OF EQUITY</w:t>
            </w:r>
            <w:r w:rsidR="00081146">
              <w:rPr>
                <w:noProof/>
                <w:webHidden/>
              </w:rPr>
              <w:tab/>
            </w:r>
            <w:r w:rsidR="00081146">
              <w:rPr>
                <w:noProof/>
                <w:webHidden/>
              </w:rPr>
              <w:fldChar w:fldCharType="begin"/>
            </w:r>
            <w:r w:rsidR="00081146">
              <w:rPr>
                <w:noProof/>
                <w:webHidden/>
              </w:rPr>
              <w:instrText xml:space="preserve"> PAGEREF _Toc85035562 \h </w:instrText>
            </w:r>
            <w:r w:rsidR="00081146">
              <w:rPr>
                <w:noProof/>
                <w:webHidden/>
              </w:rPr>
            </w:r>
            <w:r w:rsidR="00081146">
              <w:rPr>
                <w:noProof/>
                <w:webHidden/>
              </w:rPr>
              <w:fldChar w:fldCharType="separate"/>
            </w:r>
            <w:r w:rsidR="009E522A">
              <w:rPr>
                <w:noProof/>
                <w:webHidden/>
              </w:rPr>
              <w:t>7</w:t>
            </w:r>
            <w:r w:rsidR="00081146">
              <w:rPr>
                <w:noProof/>
                <w:webHidden/>
              </w:rPr>
              <w:fldChar w:fldCharType="end"/>
            </w:r>
          </w:hyperlink>
        </w:p>
        <w:p w14:paraId="17CDDBD0" w14:textId="731F2F03" w:rsidR="00081146" w:rsidRDefault="00383AE9">
          <w:pPr>
            <w:pStyle w:val="TOC2"/>
            <w:rPr>
              <w:rFonts w:asciiTheme="minorHAnsi" w:hAnsiTheme="minorHAnsi" w:cstheme="minorBidi"/>
              <w:noProof/>
              <w:sz w:val="22"/>
              <w:szCs w:val="22"/>
            </w:rPr>
          </w:pPr>
          <w:hyperlink w:anchor="_Toc85035563" w:history="1">
            <w:r w:rsidR="00081146" w:rsidRPr="0062084A">
              <w:rPr>
                <w:rStyle w:val="Hyperlink"/>
                <w:noProof/>
              </w:rPr>
              <w:t>B.</w:t>
            </w:r>
            <w:r w:rsidR="00081146">
              <w:rPr>
                <w:rFonts w:asciiTheme="minorHAnsi" w:hAnsiTheme="minorHAnsi" w:cstheme="minorBidi"/>
                <w:noProof/>
                <w:sz w:val="22"/>
                <w:szCs w:val="22"/>
              </w:rPr>
              <w:tab/>
            </w:r>
            <w:r w:rsidR="00081146" w:rsidRPr="0062084A">
              <w:rPr>
                <w:rStyle w:val="Hyperlink"/>
                <w:noProof/>
              </w:rPr>
              <w:t>COMPARABLE COMPANY ANALYSIS</w:t>
            </w:r>
            <w:r w:rsidR="00081146">
              <w:rPr>
                <w:noProof/>
                <w:webHidden/>
              </w:rPr>
              <w:tab/>
            </w:r>
            <w:r w:rsidR="00081146">
              <w:rPr>
                <w:noProof/>
                <w:webHidden/>
              </w:rPr>
              <w:fldChar w:fldCharType="begin"/>
            </w:r>
            <w:r w:rsidR="00081146">
              <w:rPr>
                <w:noProof/>
                <w:webHidden/>
              </w:rPr>
              <w:instrText xml:space="preserve"> PAGEREF _Toc85035563 \h </w:instrText>
            </w:r>
            <w:r w:rsidR="00081146">
              <w:rPr>
                <w:noProof/>
                <w:webHidden/>
              </w:rPr>
            </w:r>
            <w:r w:rsidR="00081146">
              <w:rPr>
                <w:noProof/>
                <w:webHidden/>
              </w:rPr>
              <w:fldChar w:fldCharType="separate"/>
            </w:r>
            <w:r w:rsidR="009E522A">
              <w:rPr>
                <w:noProof/>
                <w:webHidden/>
              </w:rPr>
              <w:t>10</w:t>
            </w:r>
            <w:r w:rsidR="00081146">
              <w:rPr>
                <w:noProof/>
                <w:webHidden/>
              </w:rPr>
              <w:fldChar w:fldCharType="end"/>
            </w:r>
          </w:hyperlink>
        </w:p>
        <w:p w14:paraId="4F76887D" w14:textId="68331D4E" w:rsidR="00081146" w:rsidRDefault="00383AE9">
          <w:pPr>
            <w:pStyle w:val="TOC2"/>
            <w:rPr>
              <w:rFonts w:asciiTheme="minorHAnsi" w:hAnsiTheme="minorHAnsi" w:cstheme="minorBidi"/>
              <w:noProof/>
              <w:sz w:val="22"/>
              <w:szCs w:val="22"/>
            </w:rPr>
          </w:pPr>
          <w:hyperlink w:anchor="_Toc85035564" w:history="1">
            <w:r w:rsidR="00081146" w:rsidRPr="0062084A">
              <w:rPr>
                <w:rStyle w:val="Hyperlink"/>
                <w:noProof/>
              </w:rPr>
              <w:t>C.</w:t>
            </w:r>
            <w:r w:rsidR="00081146">
              <w:rPr>
                <w:rFonts w:asciiTheme="minorHAnsi" w:hAnsiTheme="minorHAnsi" w:cstheme="minorBidi"/>
                <w:noProof/>
                <w:sz w:val="22"/>
                <w:szCs w:val="22"/>
              </w:rPr>
              <w:tab/>
            </w:r>
            <w:r w:rsidR="00081146" w:rsidRPr="0062084A">
              <w:rPr>
                <w:rStyle w:val="Hyperlink"/>
                <w:noProof/>
              </w:rPr>
              <w:t>DISCOUNTED CASH FLOW</w:t>
            </w:r>
            <w:r w:rsidR="00081146">
              <w:rPr>
                <w:noProof/>
                <w:webHidden/>
              </w:rPr>
              <w:tab/>
            </w:r>
            <w:r w:rsidR="00081146">
              <w:rPr>
                <w:noProof/>
                <w:webHidden/>
              </w:rPr>
              <w:fldChar w:fldCharType="begin"/>
            </w:r>
            <w:r w:rsidR="00081146">
              <w:rPr>
                <w:noProof/>
                <w:webHidden/>
              </w:rPr>
              <w:instrText xml:space="preserve"> PAGEREF _Toc85035564 \h </w:instrText>
            </w:r>
            <w:r w:rsidR="00081146">
              <w:rPr>
                <w:noProof/>
                <w:webHidden/>
              </w:rPr>
            </w:r>
            <w:r w:rsidR="00081146">
              <w:rPr>
                <w:noProof/>
                <w:webHidden/>
              </w:rPr>
              <w:fldChar w:fldCharType="separate"/>
            </w:r>
            <w:r w:rsidR="009E522A">
              <w:rPr>
                <w:noProof/>
                <w:webHidden/>
              </w:rPr>
              <w:t>13</w:t>
            </w:r>
            <w:r w:rsidR="00081146">
              <w:rPr>
                <w:noProof/>
                <w:webHidden/>
              </w:rPr>
              <w:fldChar w:fldCharType="end"/>
            </w:r>
          </w:hyperlink>
        </w:p>
        <w:p w14:paraId="115EF9A8" w14:textId="48CD8275" w:rsidR="00081146" w:rsidRDefault="00383AE9">
          <w:pPr>
            <w:pStyle w:val="TOC2"/>
            <w:rPr>
              <w:rFonts w:asciiTheme="minorHAnsi" w:hAnsiTheme="minorHAnsi" w:cstheme="minorBidi"/>
              <w:noProof/>
              <w:sz w:val="22"/>
              <w:szCs w:val="22"/>
            </w:rPr>
          </w:pPr>
          <w:hyperlink w:anchor="_Toc85035565" w:history="1">
            <w:r w:rsidR="00081146" w:rsidRPr="0062084A">
              <w:rPr>
                <w:rStyle w:val="Hyperlink"/>
                <w:noProof/>
              </w:rPr>
              <w:t>D.</w:t>
            </w:r>
            <w:r w:rsidR="00081146">
              <w:rPr>
                <w:rFonts w:asciiTheme="minorHAnsi" w:hAnsiTheme="minorHAnsi" w:cstheme="minorBidi"/>
                <w:noProof/>
                <w:sz w:val="22"/>
                <w:szCs w:val="22"/>
              </w:rPr>
              <w:tab/>
            </w:r>
            <w:r w:rsidR="00081146" w:rsidRPr="0062084A">
              <w:rPr>
                <w:rStyle w:val="Hyperlink"/>
                <w:noProof/>
              </w:rPr>
              <w:t>CONVENTIONAL RISK-PREMIUM</w:t>
            </w:r>
            <w:r w:rsidR="00081146">
              <w:rPr>
                <w:noProof/>
                <w:webHidden/>
              </w:rPr>
              <w:tab/>
            </w:r>
            <w:r w:rsidR="00081146">
              <w:rPr>
                <w:noProof/>
                <w:webHidden/>
              </w:rPr>
              <w:fldChar w:fldCharType="begin"/>
            </w:r>
            <w:r w:rsidR="00081146">
              <w:rPr>
                <w:noProof/>
                <w:webHidden/>
              </w:rPr>
              <w:instrText xml:space="preserve"> PAGEREF _Toc85035565 \h </w:instrText>
            </w:r>
            <w:r w:rsidR="00081146">
              <w:rPr>
                <w:noProof/>
                <w:webHidden/>
              </w:rPr>
            </w:r>
            <w:r w:rsidR="00081146">
              <w:rPr>
                <w:noProof/>
                <w:webHidden/>
              </w:rPr>
              <w:fldChar w:fldCharType="separate"/>
            </w:r>
            <w:r w:rsidR="009E522A">
              <w:rPr>
                <w:noProof/>
                <w:webHidden/>
              </w:rPr>
              <w:t>19</w:t>
            </w:r>
            <w:r w:rsidR="00081146">
              <w:rPr>
                <w:noProof/>
                <w:webHidden/>
              </w:rPr>
              <w:fldChar w:fldCharType="end"/>
            </w:r>
          </w:hyperlink>
        </w:p>
        <w:p w14:paraId="039C5822" w14:textId="577D93B8" w:rsidR="00081146" w:rsidRDefault="00383AE9">
          <w:pPr>
            <w:pStyle w:val="TOC2"/>
            <w:rPr>
              <w:rFonts w:asciiTheme="minorHAnsi" w:hAnsiTheme="minorHAnsi" w:cstheme="minorBidi"/>
              <w:noProof/>
              <w:sz w:val="22"/>
              <w:szCs w:val="22"/>
            </w:rPr>
          </w:pPr>
          <w:hyperlink w:anchor="_Toc85035566" w:history="1">
            <w:r w:rsidR="00081146" w:rsidRPr="0062084A">
              <w:rPr>
                <w:rStyle w:val="Hyperlink"/>
                <w:noProof/>
              </w:rPr>
              <w:t>E.</w:t>
            </w:r>
            <w:r w:rsidR="00081146">
              <w:rPr>
                <w:rFonts w:asciiTheme="minorHAnsi" w:hAnsiTheme="minorHAnsi" w:cstheme="minorBidi"/>
                <w:noProof/>
                <w:sz w:val="22"/>
                <w:szCs w:val="22"/>
              </w:rPr>
              <w:tab/>
            </w:r>
            <w:r w:rsidR="00081146" w:rsidRPr="0062084A">
              <w:rPr>
                <w:rStyle w:val="Hyperlink"/>
                <w:noProof/>
              </w:rPr>
              <w:t>SUMMARY OF COST-OF-EQUITY ANALYSES</w:t>
            </w:r>
            <w:r w:rsidR="00081146">
              <w:rPr>
                <w:noProof/>
                <w:webHidden/>
              </w:rPr>
              <w:tab/>
            </w:r>
            <w:r w:rsidR="00081146">
              <w:rPr>
                <w:noProof/>
                <w:webHidden/>
              </w:rPr>
              <w:fldChar w:fldCharType="begin"/>
            </w:r>
            <w:r w:rsidR="00081146">
              <w:rPr>
                <w:noProof/>
                <w:webHidden/>
              </w:rPr>
              <w:instrText xml:space="preserve"> PAGEREF _Toc85035566 \h </w:instrText>
            </w:r>
            <w:r w:rsidR="00081146">
              <w:rPr>
                <w:noProof/>
                <w:webHidden/>
              </w:rPr>
            </w:r>
            <w:r w:rsidR="00081146">
              <w:rPr>
                <w:noProof/>
                <w:webHidden/>
              </w:rPr>
              <w:fldChar w:fldCharType="separate"/>
            </w:r>
            <w:r w:rsidR="009E522A">
              <w:rPr>
                <w:noProof/>
                <w:webHidden/>
              </w:rPr>
              <w:t>22</w:t>
            </w:r>
            <w:r w:rsidR="00081146">
              <w:rPr>
                <w:noProof/>
                <w:webHidden/>
              </w:rPr>
              <w:fldChar w:fldCharType="end"/>
            </w:r>
          </w:hyperlink>
        </w:p>
        <w:p w14:paraId="1FEDC960" w14:textId="0D344FCB" w:rsidR="00081146" w:rsidRDefault="00383AE9">
          <w:pPr>
            <w:pStyle w:val="TOC1"/>
            <w:rPr>
              <w:rFonts w:asciiTheme="minorHAnsi" w:hAnsiTheme="minorHAnsi" w:cstheme="minorBidi"/>
              <w:noProof/>
              <w:sz w:val="22"/>
              <w:szCs w:val="22"/>
            </w:rPr>
          </w:pPr>
          <w:hyperlink w:anchor="_Toc85035567" w:history="1">
            <w:r w:rsidR="00081146" w:rsidRPr="0062084A">
              <w:rPr>
                <w:rStyle w:val="Hyperlink"/>
                <w:noProof/>
              </w:rPr>
              <w:t>VI.</w:t>
            </w:r>
            <w:r w:rsidR="00081146">
              <w:rPr>
                <w:rFonts w:asciiTheme="minorHAnsi" w:hAnsiTheme="minorHAnsi" w:cstheme="minorBidi"/>
                <w:noProof/>
                <w:sz w:val="22"/>
                <w:szCs w:val="22"/>
              </w:rPr>
              <w:tab/>
            </w:r>
            <w:r w:rsidR="00081146" w:rsidRPr="0062084A">
              <w:rPr>
                <w:rStyle w:val="Hyperlink"/>
                <w:noProof/>
              </w:rPr>
              <w:t>COST OF DEBT</w:t>
            </w:r>
            <w:r w:rsidR="00081146">
              <w:rPr>
                <w:noProof/>
                <w:webHidden/>
              </w:rPr>
              <w:tab/>
            </w:r>
            <w:r w:rsidR="00081146">
              <w:rPr>
                <w:noProof/>
                <w:webHidden/>
              </w:rPr>
              <w:fldChar w:fldCharType="begin"/>
            </w:r>
            <w:r w:rsidR="00081146">
              <w:rPr>
                <w:noProof/>
                <w:webHidden/>
              </w:rPr>
              <w:instrText xml:space="preserve"> PAGEREF _Toc85035567 \h </w:instrText>
            </w:r>
            <w:r w:rsidR="00081146">
              <w:rPr>
                <w:noProof/>
                <w:webHidden/>
              </w:rPr>
            </w:r>
            <w:r w:rsidR="00081146">
              <w:rPr>
                <w:noProof/>
                <w:webHidden/>
              </w:rPr>
              <w:fldChar w:fldCharType="separate"/>
            </w:r>
            <w:r w:rsidR="009E522A">
              <w:rPr>
                <w:noProof/>
                <w:webHidden/>
              </w:rPr>
              <w:t>23</w:t>
            </w:r>
            <w:r w:rsidR="00081146">
              <w:rPr>
                <w:noProof/>
                <w:webHidden/>
              </w:rPr>
              <w:fldChar w:fldCharType="end"/>
            </w:r>
          </w:hyperlink>
        </w:p>
        <w:p w14:paraId="0053241F" w14:textId="4D7109DF" w:rsidR="00081146" w:rsidRDefault="00383AE9">
          <w:pPr>
            <w:pStyle w:val="TOC1"/>
            <w:rPr>
              <w:rFonts w:asciiTheme="minorHAnsi" w:hAnsiTheme="minorHAnsi" w:cstheme="minorBidi"/>
              <w:noProof/>
              <w:sz w:val="22"/>
              <w:szCs w:val="22"/>
            </w:rPr>
          </w:pPr>
          <w:hyperlink w:anchor="_Toc85035568" w:history="1">
            <w:r w:rsidR="00081146" w:rsidRPr="0062084A">
              <w:rPr>
                <w:rStyle w:val="Hyperlink"/>
                <w:noProof/>
              </w:rPr>
              <w:t>VII.</w:t>
            </w:r>
            <w:r w:rsidR="00081146">
              <w:rPr>
                <w:rFonts w:asciiTheme="minorHAnsi" w:hAnsiTheme="minorHAnsi" w:cstheme="minorBidi"/>
                <w:noProof/>
                <w:sz w:val="22"/>
                <w:szCs w:val="22"/>
              </w:rPr>
              <w:tab/>
            </w:r>
            <w:r w:rsidR="00081146" w:rsidRPr="0062084A">
              <w:rPr>
                <w:rStyle w:val="Hyperlink"/>
                <w:noProof/>
              </w:rPr>
              <w:t>CAPITAL STRUCTURE</w:t>
            </w:r>
            <w:r w:rsidR="00081146">
              <w:rPr>
                <w:noProof/>
                <w:webHidden/>
              </w:rPr>
              <w:tab/>
            </w:r>
            <w:r w:rsidR="00081146">
              <w:rPr>
                <w:noProof/>
                <w:webHidden/>
              </w:rPr>
              <w:fldChar w:fldCharType="begin"/>
            </w:r>
            <w:r w:rsidR="00081146">
              <w:rPr>
                <w:noProof/>
                <w:webHidden/>
              </w:rPr>
              <w:instrText xml:space="preserve"> PAGEREF _Toc85035568 \h </w:instrText>
            </w:r>
            <w:r w:rsidR="00081146">
              <w:rPr>
                <w:noProof/>
                <w:webHidden/>
              </w:rPr>
            </w:r>
            <w:r w:rsidR="00081146">
              <w:rPr>
                <w:noProof/>
                <w:webHidden/>
              </w:rPr>
              <w:fldChar w:fldCharType="separate"/>
            </w:r>
            <w:r w:rsidR="009E522A">
              <w:rPr>
                <w:noProof/>
                <w:webHidden/>
              </w:rPr>
              <w:t>23</w:t>
            </w:r>
            <w:r w:rsidR="00081146">
              <w:rPr>
                <w:noProof/>
                <w:webHidden/>
              </w:rPr>
              <w:fldChar w:fldCharType="end"/>
            </w:r>
          </w:hyperlink>
        </w:p>
        <w:p w14:paraId="109D6E3D" w14:textId="50D5693D" w:rsidR="00081146" w:rsidRDefault="00383AE9">
          <w:pPr>
            <w:pStyle w:val="TOC1"/>
            <w:rPr>
              <w:rFonts w:asciiTheme="minorHAnsi" w:hAnsiTheme="minorHAnsi" w:cstheme="minorBidi"/>
              <w:noProof/>
              <w:sz w:val="22"/>
              <w:szCs w:val="22"/>
            </w:rPr>
          </w:pPr>
          <w:hyperlink w:anchor="_Toc85035569" w:history="1">
            <w:r w:rsidR="00081146" w:rsidRPr="0062084A">
              <w:rPr>
                <w:rStyle w:val="Hyperlink"/>
                <w:noProof/>
              </w:rPr>
              <w:t>VIII.</w:t>
            </w:r>
            <w:r w:rsidR="00081146">
              <w:rPr>
                <w:rFonts w:asciiTheme="minorHAnsi" w:hAnsiTheme="minorHAnsi" w:cstheme="minorBidi"/>
                <w:noProof/>
                <w:sz w:val="22"/>
                <w:szCs w:val="22"/>
              </w:rPr>
              <w:tab/>
            </w:r>
            <w:r w:rsidR="00081146" w:rsidRPr="0062084A">
              <w:rPr>
                <w:rStyle w:val="Hyperlink"/>
                <w:noProof/>
              </w:rPr>
              <w:t>OVERALL RATE OF RETURN</w:t>
            </w:r>
            <w:r w:rsidR="00081146">
              <w:rPr>
                <w:noProof/>
                <w:webHidden/>
              </w:rPr>
              <w:tab/>
            </w:r>
            <w:r w:rsidR="00081146">
              <w:rPr>
                <w:noProof/>
                <w:webHidden/>
              </w:rPr>
              <w:fldChar w:fldCharType="begin"/>
            </w:r>
            <w:r w:rsidR="00081146">
              <w:rPr>
                <w:noProof/>
                <w:webHidden/>
              </w:rPr>
              <w:instrText xml:space="preserve"> PAGEREF _Toc85035569 \h </w:instrText>
            </w:r>
            <w:r w:rsidR="00081146">
              <w:rPr>
                <w:noProof/>
                <w:webHidden/>
              </w:rPr>
            </w:r>
            <w:r w:rsidR="00081146">
              <w:rPr>
                <w:noProof/>
                <w:webHidden/>
              </w:rPr>
              <w:fldChar w:fldCharType="separate"/>
            </w:r>
            <w:r w:rsidR="009E522A">
              <w:rPr>
                <w:noProof/>
                <w:webHidden/>
              </w:rPr>
              <w:t>24</w:t>
            </w:r>
            <w:r w:rsidR="00081146">
              <w:rPr>
                <w:noProof/>
                <w:webHidden/>
              </w:rPr>
              <w:fldChar w:fldCharType="end"/>
            </w:r>
          </w:hyperlink>
        </w:p>
        <w:p w14:paraId="029ADDC0" w14:textId="1376614E" w:rsidR="00081146" w:rsidRDefault="00383AE9">
          <w:pPr>
            <w:pStyle w:val="TOC1"/>
            <w:rPr>
              <w:rFonts w:asciiTheme="minorHAnsi" w:hAnsiTheme="minorHAnsi" w:cstheme="minorBidi"/>
              <w:noProof/>
              <w:sz w:val="22"/>
              <w:szCs w:val="22"/>
            </w:rPr>
          </w:pPr>
          <w:hyperlink w:anchor="_Toc85035570" w:history="1">
            <w:r w:rsidR="00081146" w:rsidRPr="0062084A">
              <w:rPr>
                <w:rStyle w:val="Hyperlink"/>
                <w:noProof/>
              </w:rPr>
              <w:t>IX.</w:t>
            </w:r>
            <w:r w:rsidR="00081146">
              <w:rPr>
                <w:rFonts w:asciiTheme="minorHAnsi" w:hAnsiTheme="minorHAnsi" w:cstheme="minorBidi"/>
                <w:noProof/>
                <w:sz w:val="22"/>
                <w:szCs w:val="22"/>
              </w:rPr>
              <w:tab/>
            </w:r>
            <w:r w:rsidR="00081146" w:rsidRPr="0062084A">
              <w:rPr>
                <w:rStyle w:val="Hyperlink"/>
                <w:noProof/>
              </w:rPr>
              <w:t>OTHER CONSIDERATIONS OF RATE OF RETURN</w:t>
            </w:r>
            <w:r w:rsidR="00081146">
              <w:rPr>
                <w:noProof/>
                <w:webHidden/>
              </w:rPr>
              <w:tab/>
            </w:r>
            <w:r w:rsidR="00081146">
              <w:rPr>
                <w:noProof/>
                <w:webHidden/>
              </w:rPr>
              <w:fldChar w:fldCharType="begin"/>
            </w:r>
            <w:r w:rsidR="00081146">
              <w:rPr>
                <w:noProof/>
                <w:webHidden/>
              </w:rPr>
              <w:instrText xml:space="preserve"> PAGEREF _Toc85035570 \h </w:instrText>
            </w:r>
            <w:r w:rsidR="00081146">
              <w:rPr>
                <w:noProof/>
                <w:webHidden/>
              </w:rPr>
            </w:r>
            <w:r w:rsidR="00081146">
              <w:rPr>
                <w:noProof/>
                <w:webHidden/>
              </w:rPr>
              <w:fldChar w:fldCharType="separate"/>
            </w:r>
            <w:r w:rsidR="009E522A">
              <w:rPr>
                <w:noProof/>
                <w:webHidden/>
              </w:rPr>
              <w:t>25</w:t>
            </w:r>
            <w:r w:rsidR="00081146">
              <w:rPr>
                <w:noProof/>
                <w:webHidden/>
              </w:rPr>
              <w:fldChar w:fldCharType="end"/>
            </w:r>
          </w:hyperlink>
        </w:p>
        <w:p w14:paraId="0A39CA74" w14:textId="1D82C629" w:rsidR="00081146" w:rsidRDefault="00383AE9">
          <w:pPr>
            <w:pStyle w:val="TOC1"/>
            <w:rPr>
              <w:rFonts w:asciiTheme="minorHAnsi" w:hAnsiTheme="minorHAnsi" w:cstheme="minorBidi"/>
              <w:noProof/>
              <w:sz w:val="22"/>
              <w:szCs w:val="22"/>
            </w:rPr>
          </w:pPr>
          <w:hyperlink w:anchor="_Toc85035571" w:history="1">
            <w:r w:rsidR="00081146" w:rsidRPr="0062084A">
              <w:rPr>
                <w:rStyle w:val="Hyperlink"/>
                <w:noProof/>
              </w:rPr>
              <w:t>X.</w:t>
            </w:r>
            <w:r w:rsidR="00081146">
              <w:rPr>
                <w:rFonts w:asciiTheme="minorHAnsi" w:hAnsiTheme="minorHAnsi" w:cstheme="minorBidi"/>
                <w:noProof/>
                <w:sz w:val="22"/>
                <w:szCs w:val="22"/>
              </w:rPr>
              <w:tab/>
            </w:r>
            <w:r w:rsidR="00081146" w:rsidRPr="0062084A">
              <w:rPr>
                <w:rStyle w:val="Hyperlink"/>
                <w:noProof/>
              </w:rPr>
              <w:t>FINANCIAL PROTECTIVE MEASURES (RING-FENCING)</w:t>
            </w:r>
            <w:r w:rsidR="00081146">
              <w:rPr>
                <w:noProof/>
                <w:webHidden/>
              </w:rPr>
              <w:tab/>
            </w:r>
            <w:r w:rsidR="00081146">
              <w:rPr>
                <w:noProof/>
                <w:webHidden/>
              </w:rPr>
              <w:fldChar w:fldCharType="begin"/>
            </w:r>
            <w:r w:rsidR="00081146">
              <w:rPr>
                <w:noProof/>
                <w:webHidden/>
              </w:rPr>
              <w:instrText xml:space="preserve"> PAGEREF _Toc85035571 \h </w:instrText>
            </w:r>
            <w:r w:rsidR="00081146">
              <w:rPr>
                <w:noProof/>
                <w:webHidden/>
              </w:rPr>
            </w:r>
            <w:r w:rsidR="00081146">
              <w:rPr>
                <w:noProof/>
                <w:webHidden/>
              </w:rPr>
              <w:fldChar w:fldCharType="separate"/>
            </w:r>
            <w:r w:rsidR="009E522A">
              <w:rPr>
                <w:noProof/>
                <w:webHidden/>
              </w:rPr>
              <w:t>27</w:t>
            </w:r>
            <w:r w:rsidR="00081146">
              <w:rPr>
                <w:noProof/>
                <w:webHidden/>
              </w:rPr>
              <w:fldChar w:fldCharType="end"/>
            </w:r>
          </w:hyperlink>
        </w:p>
        <w:p w14:paraId="07C0D88A" w14:textId="03E9EC61" w:rsidR="005B29FB" w:rsidRDefault="005B29FB" w:rsidP="0043384F">
          <w:pPr>
            <w:suppressLineNumbers/>
            <w:spacing w:line="240" w:lineRule="auto"/>
            <w:jc w:val="both"/>
          </w:pPr>
          <w:r>
            <w:rPr>
              <w:b/>
              <w:bCs/>
              <w:noProof/>
            </w:rPr>
            <w:fldChar w:fldCharType="end"/>
          </w:r>
        </w:p>
      </w:sdtContent>
    </w:sdt>
    <w:p w14:paraId="73862443" w14:textId="77777777" w:rsidR="00EC04D1" w:rsidRDefault="00EC04D1" w:rsidP="001E3BFD">
      <w:pPr>
        <w:suppressLineNumbers/>
        <w:spacing w:line="240" w:lineRule="auto"/>
      </w:pPr>
    </w:p>
    <w:p w14:paraId="72A9BCDE" w14:textId="448260D7" w:rsidR="00EC04D1" w:rsidRDefault="00EC04D1" w:rsidP="00EC04D1">
      <w:pPr>
        <w:suppressLineNumbers/>
        <w:spacing w:line="240" w:lineRule="auto"/>
        <w:jc w:val="center"/>
        <w:rPr>
          <w:b/>
          <w:bCs/>
          <w:sz w:val="28"/>
          <w:szCs w:val="28"/>
        </w:rPr>
      </w:pPr>
      <w:r w:rsidRPr="00EC04D1">
        <w:rPr>
          <w:b/>
          <w:bCs/>
          <w:sz w:val="28"/>
          <w:szCs w:val="28"/>
        </w:rPr>
        <w:t>ATTACHMENTS</w:t>
      </w:r>
    </w:p>
    <w:p w14:paraId="58C9E8CE" w14:textId="77777777" w:rsidR="00EC04D1" w:rsidRPr="00EC04D1" w:rsidRDefault="00EC04D1" w:rsidP="00EC04D1">
      <w:pPr>
        <w:suppressLineNumbers/>
        <w:spacing w:line="240" w:lineRule="auto"/>
        <w:jc w:val="center"/>
        <w:rPr>
          <w:b/>
          <w:bCs/>
          <w:sz w:val="28"/>
          <w:szCs w:val="28"/>
        </w:rPr>
      </w:pPr>
    </w:p>
    <w:p w14:paraId="0C3FCA40" w14:textId="50A33972" w:rsidR="00F4221C" w:rsidRPr="001E3BFD" w:rsidRDefault="00E27371" w:rsidP="00EC04D1">
      <w:pPr>
        <w:suppressLineNumbers/>
        <w:spacing w:after="100" w:line="240" w:lineRule="auto"/>
      </w:pPr>
      <w:r w:rsidRPr="001E3BFD">
        <w:t>Attachment ES-1</w:t>
      </w:r>
      <w:r w:rsidR="00EC04D1">
        <w:tab/>
      </w:r>
      <w:r w:rsidR="00EC04D1">
        <w:tab/>
      </w:r>
      <w:r w:rsidRPr="001E3BFD">
        <w:t>Resume</w:t>
      </w:r>
    </w:p>
    <w:p w14:paraId="3533C057" w14:textId="716C2BE6" w:rsidR="00C466F7" w:rsidRPr="006E5B05" w:rsidRDefault="00E27371" w:rsidP="00EC04D1">
      <w:pPr>
        <w:suppressLineNumbers/>
        <w:spacing w:after="100" w:line="240" w:lineRule="auto"/>
      </w:pPr>
      <w:r w:rsidRPr="001E3BFD">
        <w:t>Attachment ES-2</w:t>
      </w:r>
      <w:r w:rsidR="00EC04D1">
        <w:tab/>
      </w:r>
      <w:r w:rsidR="00EC04D1">
        <w:tab/>
      </w:r>
      <w:r w:rsidRPr="001E3BFD">
        <w:t xml:space="preserve">Testimonies </w:t>
      </w:r>
      <w:r w:rsidR="001435A6" w:rsidRPr="006E5B05">
        <w:t xml:space="preserve"> </w:t>
      </w:r>
    </w:p>
    <w:p w14:paraId="05CB2956" w14:textId="024F49CD" w:rsidR="00754DBA" w:rsidRPr="00A94D00" w:rsidRDefault="00C466F7" w:rsidP="00EC04D1">
      <w:pPr>
        <w:suppressLineNumbers/>
        <w:spacing w:after="100" w:line="240" w:lineRule="auto"/>
      </w:pPr>
      <w:r w:rsidRPr="00A94D00">
        <w:t>Attachment ES-</w:t>
      </w:r>
      <w:r w:rsidR="00334FE8">
        <w:t>3</w:t>
      </w:r>
      <w:r w:rsidR="00EC04D1">
        <w:tab/>
      </w:r>
      <w:r w:rsidR="00EC04D1">
        <w:tab/>
      </w:r>
      <w:r w:rsidR="001435A6" w:rsidRPr="006E5B05">
        <w:t>Weighted Average</w:t>
      </w:r>
      <w:r w:rsidR="001435A6">
        <w:t xml:space="preserve"> Cost of Capital</w:t>
      </w:r>
    </w:p>
    <w:p w14:paraId="2911D56E" w14:textId="3C3AC93C" w:rsidR="00754DBA" w:rsidRPr="00A94D00" w:rsidRDefault="00754DBA" w:rsidP="00EC04D1">
      <w:pPr>
        <w:suppressLineNumbers/>
        <w:spacing w:after="100" w:line="240" w:lineRule="auto"/>
      </w:pPr>
      <w:r w:rsidRPr="00A94D00">
        <w:t>Attachment ES-</w:t>
      </w:r>
      <w:r w:rsidR="00334FE8">
        <w:t>4</w:t>
      </w:r>
      <w:r w:rsidR="00EC04D1">
        <w:tab/>
      </w:r>
      <w:r w:rsidR="00EC04D1">
        <w:tab/>
      </w:r>
      <w:r w:rsidR="001435A6" w:rsidRPr="00A94D00">
        <w:t>Barometer Group and Earnings Growth</w:t>
      </w:r>
    </w:p>
    <w:p w14:paraId="0545C1D7" w14:textId="5973D4E6" w:rsidR="00C466F7" w:rsidRPr="00A94D00" w:rsidRDefault="00754DBA" w:rsidP="00EC04D1">
      <w:pPr>
        <w:suppressLineNumbers/>
        <w:spacing w:after="100" w:line="240" w:lineRule="auto"/>
      </w:pPr>
      <w:r w:rsidRPr="00A94D00">
        <w:t>Attachment ES-</w:t>
      </w:r>
      <w:r w:rsidR="00334FE8">
        <w:t>5</w:t>
      </w:r>
      <w:r w:rsidR="00EC04D1">
        <w:tab/>
      </w:r>
      <w:r w:rsidR="00EC04D1">
        <w:tab/>
      </w:r>
      <w:r w:rsidR="001435A6" w:rsidRPr="00A94D00">
        <w:t>Average Stock Price</w:t>
      </w:r>
    </w:p>
    <w:p w14:paraId="602A0C8D" w14:textId="70F52540" w:rsidR="00C466F7" w:rsidRPr="00A94D00" w:rsidRDefault="00C466F7" w:rsidP="00EC04D1">
      <w:pPr>
        <w:suppressLineNumbers/>
        <w:spacing w:after="100" w:line="240" w:lineRule="auto"/>
      </w:pPr>
      <w:r w:rsidRPr="00A94D00">
        <w:t>Attachment ES-</w:t>
      </w:r>
      <w:r w:rsidR="00334FE8">
        <w:t>6</w:t>
      </w:r>
      <w:r w:rsidR="00EC04D1">
        <w:tab/>
      </w:r>
      <w:r w:rsidR="00EC04D1">
        <w:tab/>
      </w:r>
      <w:r w:rsidR="001435A6" w:rsidRPr="00A94D00">
        <w:t>Forecasted Dividends</w:t>
      </w:r>
    </w:p>
    <w:p w14:paraId="483066F2" w14:textId="14B05A14" w:rsidR="00C466F7" w:rsidRPr="00A94D00" w:rsidRDefault="00C466F7" w:rsidP="00EC04D1">
      <w:pPr>
        <w:suppressLineNumbers/>
        <w:spacing w:after="100" w:line="240" w:lineRule="auto"/>
        <w:ind w:left="1890" w:hanging="1890"/>
      </w:pPr>
      <w:r w:rsidRPr="00A94D00">
        <w:t>Attachment ES-</w:t>
      </w:r>
      <w:r w:rsidR="00334FE8">
        <w:t>7</w:t>
      </w:r>
      <w:r w:rsidR="00EC04D1">
        <w:tab/>
      </w:r>
      <w:r w:rsidR="00EC04D1">
        <w:tab/>
      </w:r>
      <w:r w:rsidR="001435A6" w:rsidRPr="00A94D00">
        <w:t>Discounted Cash Flow (Single-Stage)</w:t>
      </w:r>
    </w:p>
    <w:p w14:paraId="03EA3712" w14:textId="5F05D298" w:rsidR="00C466F7" w:rsidRPr="00A94D00" w:rsidRDefault="00C466F7" w:rsidP="00EC04D1">
      <w:pPr>
        <w:suppressLineNumbers/>
        <w:spacing w:after="100" w:line="240" w:lineRule="auto"/>
      </w:pPr>
      <w:r w:rsidRPr="00A94D00">
        <w:t>Attachment ES-</w:t>
      </w:r>
      <w:r w:rsidR="00334FE8">
        <w:t>8</w:t>
      </w:r>
      <w:r w:rsidR="00EC04D1">
        <w:tab/>
      </w:r>
      <w:r w:rsidR="00EC04D1">
        <w:tab/>
      </w:r>
      <w:r w:rsidR="001435A6" w:rsidRPr="00A94D00">
        <w:t>Discounted Cash Flow (Multi</w:t>
      </w:r>
      <w:r w:rsidR="007C403F">
        <w:t>s</w:t>
      </w:r>
      <w:r w:rsidR="001435A6" w:rsidRPr="00A94D00">
        <w:t>tage)</w:t>
      </w:r>
    </w:p>
    <w:p w14:paraId="5C8B13F9" w14:textId="2735D96A" w:rsidR="00BE6571" w:rsidRDefault="00C466F7" w:rsidP="00EC04D1">
      <w:pPr>
        <w:suppressLineNumbers/>
        <w:spacing w:after="100" w:line="240" w:lineRule="auto"/>
      </w:pPr>
      <w:r w:rsidRPr="00A94D00">
        <w:t>Attachment ES-</w:t>
      </w:r>
      <w:r w:rsidR="00334FE8">
        <w:t>9</w:t>
      </w:r>
      <w:r w:rsidR="00872DF4">
        <w:tab/>
      </w:r>
      <w:r w:rsidR="00EC04D1">
        <w:tab/>
      </w:r>
      <w:r w:rsidR="001435A6" w:rsidRPr="00A94D00">
        <w:t>Conventional Risk Premium Analysis</w:t>
      </w:r>
    </w:p>
    <w:p w14:paraId="442368E1" w14:textId="77777777" w:rsidR="00872DF4" w:rsidRDefault="001435A6" w:rsidP="00EC04D1">
      <w:pPr>
        <w:suppressLineNumbers/>
        <w:spacing w:after="100" w:line="240" w:lineRule="auto"/>
      </w:pPr>
      <w:r>
        <w:t>Attachment ES-1</w:t>
      </w:r>
      <w:r w:rsidR="00334FE8">
        <w:t>0</w:t>
      </w:r>
      <w:r>
        <w:tab/>
      </w:r>
      <w:r w:rsidRPr="00A94D00">
        <w:t xml:space="preserve">Return on Equity </w:t>
      </w:r>
      <w:r>
        <w:t>–</w:t>
      </w:r>
      <w:r w:rsidRPr="00A94D00">
        <w:t xml:space="preserve"> Summary</w:t>
      </w:r>
    </w:p>
    <w:p w14:paraId="61E59E46" w14:textId="09D9D9E3" w:rsidR="004322A4" w:rsidRDefault="00C12C13" w:rsidP="00204A6E">
      <w:pPr>
        <w:pStyle w:val="Heading1"/>
        <w:spacing w:line="480" w:lineRule="exact"/>
        <w:ind w:left="720" w:hanging="720"/>
        <w:jc w:val="both"/>
      </w:pPr>
      <w:bookmarkStart w:id="0" w:name="_Toc85035557"/>
      <w:r>
        <w:lastRenderedPageBreak/>
        <w:t>INTRODUCTION OF WITNESS</w:t>
      </w:r>
      <w:bookmarkEnd w:id="0"/>
    </w:p>
    <w:p w14:paraId="40F5CB48" w14:textId="77777777" w:rsidR="004322A4" w:rsidRPr="00420FD0" w:rsidRDefault="004322A4" w:rsidP="00204A6E">
      <w:pPr>
        <w:tabs>
          <w:tab w:val="left" w:pos="720"/>
        </w:tabs>
        <w:spacing w:line="480" w:lineRule="exact"/>
        <w:jc w:val="both"/>
        <w:rPr>
          <w:b/>
          <w:bCs/>
          <w:szCs w:val="22"/>
        </w:rPr>
      </w:pPr>
      <w:r w:rsidRPr="009F6F2A">
        <w:rPr>
          <w:b/>
          <w:bCs/>
          <w:szCs w:val="22"/>
        </w:rPr>
        <w:t>Q.</w:t>
      </w:r>
      <w:r w:rsidRPr="009F6F2A">
        <w:rPr>
          <w:b/>
          <w:bCs/>
          <w:szCs w:val="22"/>
        </w:rPr>
        <w:tab/>
      </w:r>
      <w:r w:rsidRPr="00420FD0">
        <w:rPr>
          <w:b/>
          <w:bCs/>
          <w:szCs w:val="22"/>
        </w:rPr>
        <w:t>Please state your name and business address.</w:t>
      </w:r>
    </w:p>
    <w:p w14:paraId="3084598E" w14:textId="5D4DFC50" w:rsidR="004322A4" w:rsidRDefault="004322A4" w:rsidP="00204A6E">
      <w:pPr>
        <w:tabs>
          <w:tab w:val="left" w:pos="720"/>
        </w:tabs>
        <w:spacing w:line="480" w:lineRule="exact"/>
        <w:ind w:left="720" w:hanging="720"/>
        <w:jc w:val="both"/>
        <w:rPr>
          <w:szCs w:val="22"/>
        </w:rPr>
      </w:pPr>
      <w:r w:rsidRPr="009F6F2A">
        <w:rPr>
          <w:szCs w:val="22"/>
        </w:rPr>
        <w:t>A.</w:t>
      </w:r>
      <w:r w:rsidRPr="009F6F2A">
        <w:rPr>
          <w:szCs w:val="22"/>
        </w:rPr>
        <w:tab/>
      </w:r>
      <w:r w:rsidR="005D33B4">
        <w:rPr>
          <w:szCs w:val="22"/>
        </w:rPr>
        <w:t xml:space="preserve">Ms. </w:t>
      </w:r>
      <w:r w:rsidR="00C12C13" w:rsidRPr="009F6F2A">
        <w:rPr>
          <w:szCs w:val="22"/>
        </w:rPr>
        <w:t>Emily Sears,</w:t>
      </w:r>
      <w:r w:rsidRPr="009F6F2A">
        <w:rPr>
          <w:szCs w:val="22"/>
        </w:rPr>
        <w:t xml:space="preserve"> Public Utility Commission</w:t>
      </w:r>
      <w:r w:rsidR="007B7B57" w:rsidRPr="009F6F2A">
        <w:rPr>
          <w:szCs w:val="22"/>
        </w:rPr>
        <w:t xml:space="preserve"> of Texas</w:t>
      </w:r>
      <w:r w:rsidRPr="009F6F2A">
        <w:rPr>
          <w:szCs w:val="22"/>
        </w:rPr>
        <w:t>, 1701 N. Congress Avenue, Austin, Texas 78711-3326.</w:t>
      </w:r>
    </w:p>
    <w:p w14:paraId="43762F5C" w14:textId="77777777" w:rsidR="00EC04D1" w:rsidRDefault="00EC04D1" w:rsidP="00E932E7">
      <w:pPr>
        <w:tabs>
          <w:tab w:val="left" w:pos="720"/>
        </w:tabs>
        <w:spacing w:line="240" w:lineRule="auto"/>
        <w:ind w:left="720" w:hanging="720"/>
        <w:jc w:val="both"/>
        <w:rPr>
          <w:szCs w:val="22"/>
        </w:rPr>
      </w:pPr>
    </w:p>
    <w:p w14:paraId="606C729A" w14:textId="77777777" w:rsidR="004322A4" w:rsidRPr="009F6F2A" w:rsidRDefault="004322A4" w:rsidP="00204A6E">
      <w:pPr>
        <w:tabs>
          <w:tab w:val="left" w:pos="720"/>
        </w:tabs>
        <w:spacing w:line="480" w:lineRule="exact"/>
        <w:ind w:left="720" w:hanging="720"/>
        <w:jc w:val="both"/>
        <w:rPr>
          <w:szCs w:val="22"/>
        </w:rPr>
      </w:pPr>
      <w:r w:rsidRPr="009F6F2A">
        <w:rPr>
          <w:b/>
          <w:bCs/>
          <w:szCs w:val="22"/>
        </w:rPr>
        <w:t>Q.</w:t>
      </w:r>
      <w:r w:rsidRPr="009F6F2A">
        <w:rPr>
          <w:b/>
          <w:bCs/>
          <w:szCs w:val="22"/>
        </w:rPr>
        <w:tab/>
      </w:r>
      <w:r w:rsidRPr="00420FD0">
        <w:rPr>
          <w:b/>
          <w:bCs/>
          <w:szCs w:val="22"/>
        </w:rPr>
        <w:t>By whom are you currently employed and in what capacity</w:t>
      </w:r>
      <w:r w:rsidRPr="00E31CCE">
        <w:rPr>
          <w:b/>
          <w:bCs/>
          <w:caps/>
          <w:szCs w:val="22"/>
        </w:rPr>
        <w:t>?</w:t>
      </w:r>
    </w:p>
    <w:p w14:paraId="3DBC5526" w14:textId="31B7CA81" w:rsidR="001B4832" w:rsidRDefault="004322A4" w:rsidP="00204A6E">
      <w:pPr>
        <w:tabs>
          <w:tab w:val="left" w:pos="720"/>
        </w:tabs>
        <w:spacing w:line="480" w:lineRule="exact"/>
        <w:ind w:left="720" w:hanging="720"/>
        <w:jc w:val="both"/>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C12C13" w:rsidRPr="009F6F2A">
        <w:rPr>
          <w:szCs w:val="22"/>
        </w:rPr>
        <w:t>January</w:t>
      </w:r>
      <w:r w:rsidRPr="009F6F2A">
        <w:rPr>
          <w:szCs w:val="22"/>
        </w:rPr>
        <w:t xml:space="preserve"> 1, 201</w:t>
      </w:r>
      <w:r w:rsidR="00C12C13" w:rsidRPr="009F6F2A">
        <w:rPr>
          <w:szCs w:val="22"/>
        </w:rPr>
        <w:t>5</w:t>
      </w:r>
      <w:r w:rsidR="00DF4775">
        <w:rPr>
          <w:szCs w:val="22"/>
        </w:rPr>
        <w:t xml:space="preserve">. </w:t>
      </w:r>
      <w:r w:rsidR="001F3D9E">
        <w:rPr>
          <w:szCs w:val="22"/>
        </w:rPr>
        <w:t xml:space="preserve"> </w:t>
      </w:r>
      <w:r w:rsidR="00DF4775">
        <w:rPr>
          <w:szCs w:val="22"/>
        </w:rPr>
        <w:t>I am</w:t>
      </w:r>
      <w:r w:rsidRPr="009F6F2A">
        <w:rPr>
          <w:szCs w:val="22"/>
        </w:rPr>
        <w:t xml:space="preserve"> a</w:t>
      </w:r>
      <w:r w:rsidR="00C12C13" w:rsidRPr="009F6F2A">
        <w:rPr>
          <w:szCs w:val="22"/>
        </w:rPr>
        <w:t xml:space="preserve"> </w:t>
      </w:r>
      <w:r w:rsidR="00560ABF">
        <w:rPr>
          <w:szCs w:val="22"/>
        </w:rPr>
        <w:t>Financial</w:t>
      </w:r>
      <w:r w:rsidR="00C12C13" w:rsidRPr="009F6F2A">
        <w:rPr>
          <w:szCs w:val="22"/>
        </w:rPr>
        <w:t xml:space="preserve"> Analyst</w:t>
      </w:r>
      <w:r w:rsidR="00DF4775">
        <w:rPr>
          <w:szCs w:val="22"/>
        </w:rPr>
        <w:t xml:space="preserve"> </w:t>
      </w:r>
      <w:r w:rsidR="00FD46EE">
        <w:rPr>
          <w:szCs w:val="22"/>
        </w:rPr>
        <w:t>in the Rate Regulation Division</w:t>
      </w:r>
      <w:r w:rsidRPr="009F6F2A">
        <w:rPr>
          <w:szCs w:val="22"/>
        </w:rPr>
        <w:t xml:space="preserve">. </w:t>
      </w:r>
    </w:p>
    <w:p w14:paraId="72E079EC" w14:textId="77777777" w:rsidR="00EC04D1" w:rsidRDefault="00EC04D1" w:rsidP="00E932E7">
      <w:pPr>
        <w:tabs>
          <w:tab w:val="left" w:pos="720"/>
        </w:tabs>
        <w:spacing w:line="240" w:lineRule="auto"/>
        <w:ind w:left="720" w:hanging="720"/>
        <w:jc w:val="both"/>
        <w:rPr>
          <w:szCs w:val="22"/>
        </w:rPr>
      </w:pPr>
    </w:p>
    <w:p w14:paraId="0473B964" w14:textId="6F815B5A" w:rsidR="004322A4" w:rsidRPr="009F6F2A" w:rsidRDefault="004322A4" w:rsidP="00204A6E">
      <w:pPr>
        <w:tabs>
          <w:tab w:val="left" w:pos="720"/>
        </w:tabs>
        <w:spacing w:line="480" w:lineRule="exact"/>
        <w:jc w:val="both"/>
        <w:rPr>
          <w:szCs w:val="22"/>
        </w:rPr>
      </w:pPr>
      <w:r w:rsidRPr="009F6F2A">
        <w:rPr>
          <w:b/>
          <w:szCs w:val="22"/>
        </w:rPr>
        <w:t>Q.</w:t>
      </w:r>
      <w:r w:rsidRPr="009F6F2A">
        <w:rPr>
          <w:szCs w:val="22"/>
        </w:rPr>
        <w:tab/>
      </w:r>
      <w:r w:rsidRPr="00420FD0">
        <w:rPr>
          <w:b/>
          <w:szCs w:val="22"/>
        </w:rPr>
        <w:t>What are your principal responsibilities at the Commission</w:t>
      </w:r>
      <w:r w:rsidRPr="009F6F2A">
        <w:rPr>
          <w:b/>
          <w:szCs w:val="22"/>
        </w:rPr>
        <w:t>?</w:t>
      </w:r>
    </w:p>
    <w:p w14:paraId="669BF0DE" w14:textId="55F0B22E" w:rsidR="00C12C13" w:rsidRDefault="004322A4" w:rsidP="00204A6E">
      <w:pPr>
        <w:numPr>
          <w:ilvl w:val="12"/>
          <w:numId w:val="0"/>
        </w:numPr>
        <w:tabs>
          <w:tab w:val="left" w:pos="720"/>
        </w:tabs>
        <w:spacing w:line="480" w:lineRule="exact"/>
        <w:ind w:left="720" w:hanging="720"/>
        <w:jc w:val="both"/>
        <w:rPr>
          <w:szCs w:val="22"/>
        </w:rPr>
      </w:pPr>
      <w:r w:rsidRPr="009F6F2A">
        <w:rPr>
          <w:szCs w:val="22"/>
        </w:rPr>
        <w:t>A.</w:t>
      </w:r>
      <w:r w:rsidRPr="009F6F2A">
        <w:rPr>
          <w:szCs w:val="22"/>
        </w:rPr>
        <w:tab/>
      </w:r>
      <w:r w:rsidR="00FD46EE">
        <w:rPr>
          <w:szCs w:val="22"/>
        </w:rPr>
        <w:t xml:space="preserve">My principal responsibilities at the Commission </w:t>
      </w:r>
      <w:r w:rsidR="00DF4775">
        <w:rPr>
          <w:szCs w:val="22"/>
        </w:rPr>
        <w:t>include reviewing</w:t>
      </w:r>
      <w:r w:rsidR="00DF4775" w:rsidRPr="009F6F2A">
        <w:rPr>
          <w:szCs w:val="22"/>
        </w:rPr>
        <w:t xml:space="preserve"> </w:t>
      </w:r>
      <w:r w:rsidR="00A73B34" w:rsidRPr="009F6F2A">
        <w:rPr>
          <w:szCs w:val="22"/>
        </w:rPr>
        <w:t>tariff</w:t>
      </w:r>
      <w:r w:rsidR="00E839F1">
        <w:rPr>
          <w:szCs w:val="22"/>
        </w:rPr>
        <w:t xml:space="preserve"> and </w:t>
      </w:r>
      <w:r w:rsidR="00177F59">
        <w:rPr>
          <w:szCs w:val="22"/>
        </w:rPr>
        <w:t>rate</w:t>
      </w:r>
      <w:r w:rsidR="00A73B34" w:rsidRPr="009F6F2A">
        <w:rPr>
          <w:szCs w:val="22"/>
        </w:rPr>
        <w:t xml:space="preserve"> change applications</w:t>
      </w:r>
      <w:r w:rsidR="007B3184">
        <w:rPr>
          <w:szCs w:val="22"/>
        </w:rPr>
        <w:t xml:space="preserve"> </w:t>
      </w:r>
      <w:r w:rsidR="00A73B34" w:rsidRPr="009F6F2A">
        <w:rPr>
          <w:szCs w:val="22"/>
        </w:rPr>
        <w:t xml:space="preserve">and </w:t>
      </w:r>
      <w:r w:rsidR="00C00053">
        <w:rPr>
          <w:szCs w:val="22"/>
        </w:rPr>
        <w:t>appeals</w:t>
      </w:r>
      <w:r w:rsidR="00A73B34" w:rsidRPr="009F6F2A">
        <w:rPr>
          <w:szCs w:val="22"/>
        </w:rPr>
        <w:t>.  I am also responsible for preparing testimony and exhibits for contested case matters involving investor-owned, non-profit</w:t>
      </w:r>
      <w:r w:rsidR="00E839F1">
        <w:rPr>
          <w:szCs w:val="22"/>
        </w:rPr>
        <w:t>,</w:t>
      </w:r>
      <w:r w:rsidR="00A73B34" w:rsidRPr="009F6F2A">
        <w:rPr>
          <w:szCs w:val="22"/>
        </w:rPr>
        <w:t xml:space="preserve"> and governmental </w:t>
      </w:r>
      <w:r w:rsidR="005D33B4">
        <w:rPr>
          <w:szCs w:val="22"/>
        </w:rPr>
        <w:t>retail public</w:t>
      </w:r>
      <w:r w:rsidR="00A73B34" w:rsidRPr="009F6F2A">
        <w:rPr>
          <w:szCs w:val="22"/>
        </w:rPr>
        <w:t xml:space="preserve"> utilities</w:t>
      </w:r>
      <w:r w:rsidR="00AF0615">
        <w:rPr>
          <w:szCs w:val="22"/>
        </w:rPr>
        <w:t xml:space="preserve"> and </w:t>
      </w:r>
      <w:r w:rsidR="005D33B4">
        <w:rPr>
          <w:szCs w:val="22"/>
        </w:rPr>
        <w:t>wholesale matters</w:t>
      </w:r>
      <w:r w:rsidR="00AF0615">
        <w:rPr>
          <w:szCs w:val="22"/>
        </w:rPr>
        <w:t xml:space="preserve"> as well as</w:t>
      </w:r>
      <w:r w:rsidR="00F84F0E">
        <w:rPr>
          <w:szCs w:val="22"/>
        </w:rPr>
        <w:t xml:space="preserve"> </w:t>
      </w:r>
      <w:r w:rsidR="003B7CC1">
        <w:rPr>
          <w:szCs w:val="22"/>
        </w:rPr>
        <w:t>participating in</w:t>
      </w:r>
      <w:r w:rsidR="00F84F0E">
        <w:rPr>
          <w:szCs w:val="22"/>
        </w:rPr>
        <w:t xml:space="preserve"> settlement negotiations</w:t>
      </w:r>
      <w:r w:rsidR="00A73B34" w:rsidRPr="009F6F2A">
        <w:rPr>
          <w:szCs w:val="22"/>
        </w:rPr>
        <w:t>.</w:t>
      </w:r>
      <w:r w:rsidR="003575C6">
        <w:rPr>
          <w:szCs w:val="22"/>
        </w:rPr>
        <w:t xml:space="preserve">  I also participate in Commission rulemakings.</w:t>
      </w:r>
      <w:r w:rsidR="00C12C13" w:rsidRPr="009F6F2A">
        <w:rPr>
          <w:szCs w:val="22"/>
        </w:rPr>
        <w:t xml:space="preserve">   </w:t>
      </w:r>
    </w:p>
    <w:p w14:paraId="10053C0B" w14:textId="77777777" w:rsidR="00EC04D1" w:rsidRDefault="00EC04D1" w:rsidP="00E932E7">
      <w:pPr>
        <w:numPr>
          <w:ilvl w:val="12"/>
          <w:numId w:val="0"/>
        </w:numPr>
        <w:tabs>
          <w:tab w:val="left" w:pos="720"/>
        </w:tabs>
        <w:spacing w:line="240" w:lineRule="auto"/>
        <w:ind w:left="720" w:hanging="720"/>
        <w:jc w:val="both"/>
        <w:rPr>
          <w:szCs w:val="22"/>
        </w:rPr>
      </w:pPr>
    </w:p>
    <w:p w14:paraId="07744FB1" w14:textId="77777777" w:rsidR="004322A4" w:rsidRPr="00420FD0" w:rsidRDefault="004322A4" w:rsidP="00204A6E">
      <w:pPr>
        <w:numPr>
          <w:ilvl w:val="12"/>
          <w:numId w:val="0"/>
        </w:numPr>
        <w:tabs>
          <w:tab w:val="left" w:pos="720"/>
        </w:tabs>
        <w:spacing w:line="480" w:lineRule="exact"/>
        <w:ind w:left="720" w:hanging="720"/>
        <w:jc w:val="both"/>
        <w:rPr>
          <w:b/>
          <w:szCs w:val="22"/>
        </w:rPr>
      </w:pPr>
      <w:r w:rsidRPr="009F6F2A">
        <w:rPr>
          <w:b/>
          <w:szCs w:val="22"/>
        </w:rPr>
        <w:t>Q.</w:t>
      </w:r>
      <w:r w:rsidRPr="009F6F2A">
        <w:rPr>
          <w:b/>
          <w:szCs w:val="22"/>
        </w:rPr>
        <w:tab/>
      </w:r>
      <w:r w:rsidRPr="00420FD0">
        <w:rPr>
          <w:b/>
          <w:szCs w:val="22"/>
        </w:rPr>
        <w:t>Please state your educational background and professional experience.</w:t>
      </w:r>
    </w:p>
    <w:p w14:paraId="6C657EBB" w14:textId="5B6DA66B" w:rsidR="00944E19" w:rsidRDefault="004322A4" w:rsidP="00204A6E">
      <w:pPr>
        <w:numPr>
          <w:ilvl w:val="12"/>
          <w:numId w:val="0"/>
        </w:numPr>
        <w:tabs>
          <w:tab w:val="left" w:pos="720"/>
        </w:tabs>
        <w:spacing w:line="480" w:lineRule="exact"/>
        <w:ind w:left="720" w:hanging="720"/>
        <w:jc w:val="both"/>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Attachment ES</w:t>
      </w:r>
      <w:r w:rsidRPr="00856403">
        <w:rPr>
          <w:szCs w:val="22"/>
        </w:rPr>
        <w:t>-</w:t>
      </w:r>
      <w:r w:rsidR="00A73B34" w:rsidRPr="00856403">
        <w:rPr>
          <w:szCs w:val="22"/>
        </w:rPr>
        <w:t>1</w:t>
      </w:r>
      <w:r w:rsidRPr="00856403">
        <w:rPr>
          <w:szCs w:val="22"/>
        </w:rPr>
        <w:t xml:space="preserve"> </w:t>
      </w:r>
      <w:r w:rsidRPr="009F6F2A">
        <w:rPr>
          <w:szCs w:val="22"/>
        </w:rPr>
        <w:t>to my direct testimony.</w:t>
      </w:r>
    </w:p>
    <w:p w14:paraId="18964921" w14:textId="77777777" w:rsidR="00204A6E" w:rsidRDefault="00204A6E" w:rsidP="00E932E7">
      <w:pPr>
        <w:numPr>
          <w:ilvl w:val="12"/>
          <w:numId w:val="0"/>
        </w:numPr>
        <w:tabs>
          <w:tab w:val="left" w:pos="720"/>
        </w:tabs>
        <w:spacing w:line="240" w:lineRule="auto"/>
        <w:ind w:left="720" w:hanging="720"/>
        <w:jc w:val="both"/>
        <w:rPr>
          <w:szCs w:val="22"/>
        </w:rPr>
      </w:pPr>
    </w:p>
    <w:p w14:paraId="72C21444" w14:textId="77777777" w:rsidR="004322A4" w:rsidRPr="00944E19" w:rsidRDefault="004322A4" w:rsidP="00204A6E">
      <w:pPr>
        <w:numPr>
          <w:ilvl w:val="12"/>
          <w:numId w:val="0"/>
        </w:numPr>
        <w:tabs>
          <w:tab w:val="left" w:pos="720"/>
        </w:tabs>
        <w:spacing w:line="480" w:lineRule="exact"/>
        <w:ind w:left="720" w:hanging="720"/>
        <w:jc w:val="both"/>
        <w:rPr>
          <w:szCs w:val="22"/>
        </w:rPr>
      </w:pPr>
      <w:r w:rsidRPr="00944E19">
        <w:rPr>
          <w:b/>
          <w:bCs/>
          <w:szCs w:val="22"/>
        </w:rPr>
        <w:t>Q.</w:t>
      </w:r>
      <w:r w:rsidRPr="00944E19">
        <w:rPr>
          <w:b/>
          <w:bCs/>
          <w:szCs w:val="22"/>
        </w:rPr>
        <w:tab/>
        <w:t>Have you</w:t>
      </w:r>
      <w:r w:rsidR="00A73B34" w:rsidRPr="00944E19">
        <w:rPr>
          <w:b/>
          <w:bCs/>
          <w:szCs w:val="22"/>
        </w:rPr>
        <w:t xml:space="preserve"> previously testified before this</w:t>
      </w:r>
      <w:r w:rsidRPr="00944E19">
        <w:rPr>
          <w:b/>
          <w:bCs/>
          <w:szCs w:val="22"/>
        </w:rPr>
        <w:t xml:space="preserve"> Commission or the State Office of Administrative Hearings (SOAH)?</w:t>
      </w:r>
    </w:p>
    <w:p w14:paraId="1A906F4A" w14:textId="48121BD3" w:rsidR="004322A4" w:rsidRDefault="006A44DF" w:rsidP="00204A6E">
      <w:pPr>
        <w:tabs>
          <w:tab w:val="left" w:pos="720"/>
        </w:tabs>
        <w:spacing w:line="480" w:lineRule="exact"/>
        <w:ind w:left="720" w:hanging="720"/>
        <w:jc w:val="both"/>
        <w:rPr>
          <w:szCs w:val="22"/>
        </w:rPr>
      </w:pPr>
      <w:r w:rsidRPr="00944E19">
        <w:rPr>
          <w:szCs w:val="22"/>
        </w:rPr>
        <w:t>A.</w:t>
      </w:r>
      <w:r w:rsidRPr="00944E19">
        <w:rPr>
          <w:szCs w:val="22"/>
        </w:rPr>
        <w:tab/>
      </w:r>
      <w:r w:rsidR="00560ABF" w:rsidRPr="00944E19">
        <w:rPr>
          <w:szCs w:val="22"/>
        </w:rPr>
        <w:t xml:space="preserve">Yes. </w:t>
      </w:r>
      <w:r w:rsidR="00A73B34" w:rsidRPr="00944E19">
        <w:rPr>
          <w:szCs w:val="22"/>
        </w:rPr>
        <w:t xml:space="preserve"> I have</w:t>
      </w:r>
      <w:r w:rsidR="00560ABF" w:rsidRPr="00944E19">
        <w:rPr>
          <w:szCs w:val="22"/>
        </w:rPr>
        <w:t xml:space="preserve"> also</w:t>
      </w:r>
      <w:r w:rsidR="00A73B34" w:rsidRPr="00944E19">
        <w:rPr>
          <w:szCs w:val="22"/>
        </w:rPr>
        <w:t xml:space="preserve"> testified before the P</w:t>
      </w:r>
      <w:r w:rsidR="009F6F2A" w:rsidRPr="00944E19">
        <w:rPr>
          <w:szCs w:val="22"/>
        </w:rPr>
        <w:t>ennsylvania Public Utility Commission</w:t>
      </w:r>
      <w:r w:rsidR="00A73B34" w:rsidRPr="00944E19">
        <w:rPr>
          <w:szCs w:val="22"/>
        </w:rPr>
        <w:t>.</w:t>
      </w:r>
      <w:r w:rsidR="004322A4" w:rsidRPr="00944E19">
        <w:rPr>
          <w:szCs w:val="22"/>
        </w:rPr>
        <w:t xml:space="preserve"> </w:t>
      </w:r>
      <w:r w:rsidR="009F6F2A" w:rsidRPr="00944E19">
        <w:rPr>
          <w:szCs w:val="22"/>
        </w:rPr>
        <w:t xml:space="preserve"> </w:t>
      </w:r>
      <w:r w:rsidR="00A73B34" w:rsidRPr="00944E19">
        <w:rPr>
          <w:szCs w:val="22"/>
        </w:rPr>
        <w:t>Attachment ES-</w:t>
      </w:r>
      <w:r w:rsidR="009F6F2A" w:rsidRPr="00944E19">
        <w:rPr>
          <w:szCs w:val="22"/>
        </w:rPr>
        <w:t>2</w:t>
      </w:r>
      <w:r w:rsidR="00A73B34" w:rsidRPr="00944E19">
        <w:rPr>
          <w:szCs w:val="22"/>
        </w:rPr>
        <w:t xml:space="preserve"> provides a summary of the </w:t>
      </w:r>
      <w:r w:rsidR="009F6F2A" w:rsidRPr="00944E19">
        <w:rPr>
          <w:szCs w:val="22"/>
        </w:rPr>
        <w:t>cases</w:t>
      </w:r>
      <w:r w:rsidR="00A73B34" w:rsidRPr="00944E19">
        <w:rPr>
          <w:szCs w:val="22"/>
        </w:rPr>
        <w:t xml:space="preserve"> in which I have testified </w:t>
      </w:r>
      <w:r w:rsidR="00E53307">
        <w:rPr>
          <w:szCs w:val="22"/>
        </w:rPr>
        <w:t xml:space="preserve">at hearing </w:t>
      </w:r>
      <w:r w:rsidR="00A73B34" w:rsidRPr="00944E19">
        <w:rPr>
          <w:szCs w:val="22"/>
        </w:rPr>
        <w:t xml:space="preserve">or </w:t>
      </w:r>
      <w:r w:rsidR="00E53307">
        <w:rPr>
          <w:szCs w:val="22"/>
        </w:rPr>
        <w:t>filed</w:t>
      </w:r>
      <w:r w:rsidR="00E53307" w:rsidRPr="00944E19">
        <w:rPr>
          <w:szCs w:val="22"/>
        </w:rPr>
        <w:t xml:space="preserve"> </w:t>
      </w:r>
      <w:r w:rsidR="00A73B34" w:rsidRPr="00944E19">
        <w:rPr>
          <w:szCs w:val="22"/>
        </w:rPr>
        <w:t>testimony.</w:t>
      </w:r>
    </w:p>
    <w:p w14:paraId="6F653CAD" w14:textId="77777777" w:rsidR="008F2C2F" w:rsidRDefault="008F2C2F" w:rsidP="00935BE1">
      <w:pPr>
        <w:suppressLineNumbers/>
        <w:tabs>
          <w:tab w:val="left" w:pos="720"/>
        </w:tabs>
        <w:spacing w:line="480" w:lineRule="exact"/>
        <w:ind w:left="720" w:hanging="720"/>
        <w:jc w:val="both"/>
        <w:rPr>
          <w:szCs w:val="22"/>
        </w:rPr>
      </w:pPr>
    </w:p>
    <w:p w14:paraId="320A23A7" w14:textId="77777777" w:rsidR="003D01DB" w:rsidRPr="00C12C13" w:rsidRDefault="003D01DB" w:rsidP="00204A6E">
      <w:pPr>
        <w:pStyle w:val="Heading1"/>
        <w:spacing w:line="480" w:lineRule="exact"/>
        <w:ind w:left="720" w:hanging="720"/>
        <w:jc w:val="both"/>
      </w:pPr>
      <w:bookmarkStart w:id="1" w:name="_Toc85035558"/>
      <w:r w:rsidRPr="00C12C13">
        <w:lastRenderedPageBreak/>
        <w:t>PURPOSE AND SCOPE OF TESTIMONY</w:t>
      </w:r>
      <w:bookmarkEnd w:id="1"/>
    </w:p>
    <w:p w14:paraId="4A06993B" w14:textId="77777777" w:rsidR="00EC652F" w:rsidRPr="008974D6" w:rsidRDefault="00EC652F" w:rsidP="00204A6E">
      <w:pPr>
        <w:widowControl/>
        <w:spacing w:line="480" w:lineRule="exact"/>
        <w:ind w:left="720" w:hanging="720"/>
        <w:jc w:val="both"/>
        <w:rPr>
          <w:b/>
          <w:bCs/>
          <w:color w:val="000000" w:themeColor="text1"/>
        </w:rPr>
      </w:pPr>
      <w:r w:rsidRPr="008974D6">
        <w:rPr>
          <w:b/>
          <w:color w:val="000000" w:themeColor="text1"/>
        </w:rPr>
        <w:t>Q.</w:t>
      </w:r>
      <w:r w:rsidRPr="008974D6">
        <w:rPr>
          <w:color w:val="000000" w:themeColor="text1"/>
        </w:rPr>
        <w:t xml:space="preserve"> </w:t>
      </w:r>
      <w:r w:rsidRPr="008974D6">
        <w:rPr>
          <w:color w:val="000000" w:themeColor="text1"/>
        </w:rPr>
        <w:tab/>
      </w:r>
      <w:r w:rsidRPr="008974D6">
        <w:rPr>
          <w:b/>
          <w:color w:val="000000" w:themeColor="text1"/>
        </w:rPr>
        <w:t>What is</w:t>
      </w:r>
      <w:r w:rsidRPr="008974D6">
        <w:rPr>
          <w:color w:val="000000" w:themeColor="text1"/>
        </w:rPr>
        <w:t xml:space="preserve"> </w:t>
      </w:r>
      <w:r w:rsidRPr="008974D6">
        <w:rPr>
          <w:b/>
          <w:bCs/>
          <w:color w:val="000000" w:themeColor="text1"/>
        </w:rPr>
        <w:t>the purpose of your testimony in this proceeding?</w:t>
      </w:r>
    </w:p>
    <w:p w14:paraId="7A3144EC" w14:textId="7D6F13C5" w:rsidR="001A4799" w:rsidRDefault="00EC652F" w:rsidP="00204A6E">
      <w:pPr>
        <w:tabs>
          <w:tab w:val="left" w:pos="-1440"/>
        </w:tabs>
        <w:spacing w:line="480" w:lineRule="exact"/>
        <w:ind w:left="720" w:hanging="720"/>
        <w:jc w:val="both"/>
        <w:rPr>
          <w:color w:val="000000" w:themeColor="text1"/>
        </w:rPr>
      </w:pPr>
      <w:r w:rsidRPr="008974D6">
        <w:rPr>
          <w:color w:val="000000" w:themeColor="text1"/>
        </w:rPr>
        <w:t xml:space="preserve">A. </w:t>
      </w:r>
      <w:r w:rsidR="00200B56" w:rsidRPr="008974D6">
        <w:rPr>
          <w:color w:val="000000" w:themeColor="text1"/>
        </w:rPr>
        <w:tab/>
      </w:r>
      <w:r w:rsidRPr="008974D6">
        <w:rPr>
          <w:color w:val="000000" w:themeColor="text1"/>
        </w:rPr>
        <w:t xml:space="preserve">The purpose of my testimony is to </w:t>
      </w:r>
      <w:r w:rsidR="001A4799" w:rsidRPr="008974D6">
        <w:rPr>
          <w:color w:val="000000" w:themeColor="text1"/>
        </w:rPr>
        <w:t>present a recommendation</w:t>
      </w:r>
      <w:r w:rsidR="00FD46EE" w:rsidRPr="008974D6">
        <w:rPr>
          <w:color w:val="000000" w:themeColor="text1"/>
        </w:rPr>
        <w:t xml:space="preserve"> </w:t>
      </w:r>
      <w:r w:rsidR="00935BE1">
        <w:rPr>
          <w:color w:val="000000" w:themeColor="text1"/>
        </w:rPr>
        <w:t>on</w:t>
      </w:r>
      <w:r w:rsidR="00FD46EE" w:rsidRPr="008974D6">
        <w:rPr>
          <w:color w:val="000000" w:themeColor="text1"/>
        </w:rPr>
        <w:t xml:space="preserve"> the </w:t>
      </w:r>
      <w:r w:rsidR="00935BE1">
        <w:rPr>
          <w:color w:val="000000" w:themeColor="text1"/>
        </w:rPr>
        <w:t xml:space="preserve">overall </w:t>
      </w:r>
      <w:r w:rsidR="00FD46EE" w:rsidRPr="008974D6">
        <w:rPr>
          <w:color w:val="000000" w:themeColor="text1"/>
        </w:rPr>
        <w:t>rate of return</w:t>
      </w:r>
      <w:r w:rsidR="00E839F1">
        <w:rPr>
          <w:color w:val="000000" w:themeColor="text1"/>
        </w:rPr>
        <w:t xml:space="preserve"> (ROR)</w:t>
      </w:r>
      <w:r w:rsidR="00FD46EE" w:rsidRPr="008974D6">
        <w:rPr>
          <w:color w:val="000000" w:themeColor="text1"/>
        </w:rPr>
        <w:t xml:space="preserve"> for</w:t>
      </w:r>
      <w:r w:rsidR="001530F6">
        <w:rPr>
          <w:color w:val="000000" w:themeColor="text1"/>
        </w:rPr>
        <w:t xml:space="preserve"> </w:t>
      </w:r>
      <w:r w:rsidR="009019EF">
        <w:rPr>
          <w:color w:val="000000" w:themeColor="text1"/>
        </w:rPr>
        <w:t>El Paso Electric Company</w:t>
      </w:r>
      <w:r w:rsidR="001530F6">
        <w:rPr>
          <w:color w:val="000000" w:themeColor="text1"/>
        </w:rPr>
        <w:t xml:space="preserve"> (</w:t>
      </w:r>
      <w:r w:rsidR="009019EF">
        <w:rPr>
          <w:color w:val="000000" w:themeColor="text1"/>
        </w:rPr>
        <w:t>EPE</w:t>
      </w:r>
      <w:r w:rsidR="001530F6">
        <w:rPr>
          <w:color w:val="000000" w:themeColor="text1"/>
        </w:rPr>
        <w:t>)</w:t>
      </w:r>
      <w:r w:rsidR="00DC520E">
        <w:rPr>
          <w:color w:val="000000" w:themeColor="text1"/>
        </w:rPr>
        <w:t xml:space="preserve"> in this proceeding</w:t>
      </w:r>
      <w:r w:rsidR="00883058">
        <w:rPr>
          <w:color w:val="000000" w:themeColor="text1"/>
        </w:rPr>
        <w:t xml:space="preserve">.  More specifically, I address the issues of </w:t>
      </w:r>
      <w:r w:rsidR="009019EF">
        <w:rPr>
          <w:color w:val="000000" w:themeColor="text1"/>
        </w:rPr>
        <w:t>EPE’s</w:t>
      </w:r>
      <w:r w:rsidR="00FD46EE" w:rsidRPr="008974D6">
        <w:rPr>
          <w:color w:val="000000" w:themeColor="text1"/>
        </w:rPr>
        <w:t xml:space="preserve"> capital structure, cost of debt, cost of equity,</w:t>
      </w:r>
      <w:r w:rsidR="001530F6">
        <w:rPr>
          <w:color w:val="000000" w:themeColor="text1"/>
        </w:rPr>
        <w:t xml:space="preserve"> and</w:t>
      </w:r>
      <w:r w:rsidR="00FD46EE" w:rsidRPr="008974D6">
        <w:rPr>
          <w:color w:val="000000" w:themeColor="text1"/>
        </w:rPr>
        <w:t xml:space="preserve"> overall rate of return</w:t>
      </w:r>
      <w:r w:rsidR="008A71E9" w:rsidRPr="008974D6">
        <w:rPr>
          <w:color w:val="000000" w:themeColor="text1"/>
        </w:rPr>
        <w:t>.</w:t>
      </w:r>
      <w:r w:rsidR="00DC520E">
        <w:rPr>
          <w:color w:val="000000" w:themeColor="text1"/>
        </w:rPr>
        <w:t xml:space="preserve"> </w:t>
      </w:r>
      <w:r w:rsidR="001A4799" w:rsidRPr="008974D6">
        <w:rPr>
          <w:color w:val="000000" w:themeColor="text1"/>
        </w:rPr>
        <w:t xml:space="preserve"> </w:t>
      </w:r>
      <w:r w:rsidR="009019EF">
        <w:rPr>
          <w:color w:val="000000" w:themeColor="text1"/>
        </w:rPr>
        <w:t>I also present a recommendation on necessary financial protections (commonly called “ring-fencing” provisions)</w:t>
      </w:r>
      <w:r w:rsidR="00E53307">
        <w:rPr>
          <w:color w:val="000000" w:themeColor="text1"/>
        </w:rPr>
        <w:t xml:space="preserve"> to protect the utility’s financial </w:t>
      </w:r>
      <w:r w:rsidR="00FE014A">
        <w:rPr>
          <w:color w:val="000000" w:themeColor="text1"/>
        </w:rPr>
        <w:t>integrity</w:t>
      </w:r>
      <w:r w:rsidR="00601F55">
        <w:rPr>
          <w:color w:val="000000" w:themeColor="text1"/>
        </w:rPr>
        <w:t xml:space="preserve"> and ability to provide reliable service at just and reasonable rates</w:t>
      </w:r>
      <w:r w:rsidR="009019EF">
        <w:rPr>
          <w:color w:val="000000" w:themeColor="text1"/>
        </w:rPr>
        <w:t>.</w:t>
      </w:r>
    </w:p>
    <w:p w14:paraId="17432628" w14:textId="77777777" w:rsidR="00EC04D1" w:rsidRDefault="00EC04D1" w:rsidP="00E932E7">
      <w:pPr>
        <w:tabs>
          <w:tab w:val="left" w:pos="-1440"/>
        </w:tabs>
        <w:spacing w:line="240" w:lineRule="auto"/>
        <w:ind w:left="720" w:hanging="720"/>
        <w:jc w:val="both"/>
        <w:rPr>
          <w:color w:val="000000" w:themeColor="text1"/>
        </w:rPr>
      </w:pPr>
    </w:p>
    <w:p w14:paraId="4F2DFF6E" w14:textId="7F5031AB" w:rsidR="00EC652F" w:rsidRPr="008974D6" w:rsidRDefault="00EC652F" w:rsidP="00204A6E">
      <w:pPr>
        <w:widowControl/>
        <w:spacing w:line="480" w:lineRule="exact"/>
        <w:ind w:left="720" w:hanging="720"/>
        <w:jc w:val="both"/>
        <w:rPr>
          <w:b/>
          <w:color w:val="000000" w:themeColor="text1"/>
        </w:rPr>
      </w:pPr>
      <w:r w:rsidRPr="008974D6">
        <w:rPr>
          <w:b/>
          <w:color w:val="000000" w:themeColor="text1"/>
        </w:rPr>
        <w:t>Q.</w:t>
      </w:r>
      <w:r w:rsidRPr="008974D6">
        <w:rPr>
          <w:color w:val="000000" w:themeColor="text1"/>
        </w:rPr>
        <w:tab/>
      </w:r>
      <w:r w:rsidRPr="008974D6">
        <w:rPr>
          <w:b/>
          <w:color w:val="000000" w:themeColor="text1"/>
        </w:rPr>
        <w:t xml:space="preserve">What is </w:t>
      </w:r>
      <w:r w:rsidRPr="008974D6">
        <w:rPr>
          <w:b/>
          <w:bCs/>
          <w:color w:val="000000" w:themeColor="text1"/>
        </w:rPr>
        <w:t xml:space="preserve">the scope </w:t>
      </w:r>
      <w:r w:rsidRPr="008974D6">
        <w:rPr>
          <w:b/>
          <w:color w:val="000000" w:themeColor="text1"/>
        </w:rPr>
        <w:t>of your review?</w:t>
      </w:r>
    </w:p>
    <w:p w14:paraId="41C31D85" w14:textId="7A9B33D1" w:rsidR="00583549" w:rsidRDefault="00EC652F" w:rsidP="00204A6E">
      <w:pPr>
        <w:widowControl/>
        <w:spacing w:line="480" w:lineRule="exact"/>
        <w:ind w:left="720" w:hanging="720"/>
        <w:jc w:val="both"/>
        <w:rPr>
          <w:rFonts w:eastAsia="PMingLiU"/>
          <w:color w:val="000000" w:themeColor="text1"/>
        </w:rPr>
      </w:pPr>
      <w:r w:rsidRPr="008974D6">
        <w:rPr>
          <w:color w:val="000000" w:themeColor="text1"/>
        </w:rPr>
        <w:t>A.</w:t>
      </w:r>
      <w:r w:rsidRPr="008974D6">
        <w:rPr>
          <w:color w:val="000000" w:themeColor="text1"/>
        </w:rPr>
        <w:tab/>
      </w:r>
      <w:r w:rsidR="00822CE3" w:rsidRPr="008974D6">
        <w:rPr>
          <w:rFonts w:eastAsia="PMingLiU"/>
          <w:color w:val="000000" w:themeColor="text1"/>
        </w:rPr>
        <w:t>I reviewed</w:t>
      </w:r>
      <w:r w:rsidR="008A71E9" w:rsidRPr="008974D6">
        <w:rPr>
          <w:rFonts w:eastAsia="PMingLiU"/>
          <w:color w:val="000000" w:themeColor="text1"/>
        </w:rPr>
        <w:t xml:space="preserve"> </w:t>
      </w:r>
      <w:r w:rsidR="00D6244E">
        <w:rPr>
          <w:rFonts w:eastAsia="PMingLiU"/>
          <w:color w:val="000000" w:themeColor="text1"/>
        </w:rPr>
        <w:t>EPE</w:t>
      </w:r>
      <w:r w:rsidR="00575849" w:rsidRPr="008974D6">
        <w:rPr>
          <w:rFonts w:eastAsia="PMingLiU"/>
          <w:color w:val="000000" w:themeColor="text1"/>
        </w:rPr>
        <w:t>’s</w:t>
      </w:r>
      <w:r w:rsidR="008974D6" w:rsidRPr="008974D6">
        <w:rPr>
          <w:rFonts w:eastAsia="PMingLiU"/>
          <w:color w:val="000000" w:themeColor="text1"/>
        </w:rPr>
        <w:t xml:space="preserve"> a</w:t>
      </w:r>
      <w:r w:rsidR="008A71E9" w:rsidRPr="008974D6">
        <w:rPr>
          <w:rFonts w:eastAsia="PMingLiU"/>
          <w:color w:val="000000" w:themeColor="text1"/>
        </w:rPr>
        <w:t>pplication</w:t>
      </w:r>
      <w:r w:rsidR="00AF0615">
        <w:rPr>
          <w:rFonts w:eastAsia="PMingLiU"/>
          <w:color w:val="000000" w:themeColor="text1"/>
        </w:rPr>
        <w:t xml:space="preserve"> including </w:t>
      </w:r>
      <w:r w:rsidR="002E7524" w:rsidRPr="008974D6">
        <w:rPr>
          <w:rFonts w:eastAsia="PMingLiU"/>
          <w:color w:val="000000" w:themeColor="text1"/>
        </w:rPr>
        <w:t xml:space="preserve">direct </w:t>
      </w:r>
      <w:r w:rsidR="005D33B4" w:rsidRPr="008974D6">
        <w:rPr>
          <w:rFonts w:eastAsia="PMingLiU"/>
          <w:color w:val="000000" w:themeColor="text1"/>
        </w:rPr>
        <w:t>testimon</w:t>
      </w:r>
      <w:r w:rsidR="00FD46EE" w:rsidRPr="008974D6">
        <w:rPr>
          <w:rFonts w:eastAsia="PMingLiU"/>
          <w:color w:val="000000" w:themeColor="text1"/>
        </w:rPr>
        <w:t>y</w:t>
      </w:r>
      <w:r w:rsidR="008B6501">
        <w:rPr>
          <w:rFonts w:eastAsia="PMingLiU"/>
          <w:color w:val="000000" w:themeColor="text1"/>
        </w:rPr>
        <w:t>, supplements,</w:t>
      </w:r>
      <w:r w:rsidR="008974D6">
        <w:rPr>
          <w:rFonts w:eastAsia="PMingLiU"/>
          <w:color w:val="000000" w:themeColor="text1"/>
        </w:rPr>
        <w:t xml:space="preserve"> and </w:t>
      </w:r>
      <w:r w:rsidR="00580502">
        <w:rPr>
          <w:rFonts w:eastAsia="PMingLiU"/>
          <w:color w:val="000000" w:themeColor="text1"/>
        </w:rPr>
        <w:t>its</w:t>
      </w:r>
      <w:r w:rsidR="00171D70">
        <w:rPr>
          <w:rFonts w:eastAsia="PMingLiU"/>
          <w:color w:val="000000" w:themeColor="text1"/>
        </w:rPr>
        <w:t xml:space="preserve"> responses to </w:t>
      </w:r>
      <w:r w:rsidR="008B6501">
        <w:rPr>
          <w:rFonts w:eastAsia="PMingLiU"/>
          <w:color w:val="000000" w:themeColor="text1"/>
        </w:rPr>
        <w:t>r</w:t>
      </w:r>
      <w:r w:rsidR="00171D70">
        <w:rPr>
          <w:rFonts w:eastAsia="PMingLiU"/>
          <w:color w:val="000000" w:themeColor="text1"/>
        </w:rPr>
        <w:t xml:space="preserve">equests for </w:t>
      </w:r>
      <w:r w:rsidR="008B6501">
        <w:rPr>
          <w:rFonts w:eastAsia="PMingLiU"/>
          <w:color w:val="000000" w:themeColor="text1"/>
        </w:rPr>
        <w:t>i</w:t>
      </w:r>
      <w:r w:rsidR="00171D70">
        <w:rPr>
          <w:rFonts w:eastAsia="PMingLiU"/>
          <w:color w:val="000000" w:themeColor="text1"/>
        </w:rPr>
        <w:t>nformation (RFI).</w:t>
      </w:r>
      <w:r w:rsidR="00D6244E">
        <w:rPr>
          <w:rFonts w:eastAsia="PMingLiU"/>
          <w:color w:val="000000" w:themeColor="text1"/>
        </w:rPr>
        <w:t xml:space="preserve">  I also considered and analyzed data from financial resources such as Standard and Poor’s (S&amp;P), Value Line Investment Survey (Value Line), Zacks Investment Service (Zacks), and S</w:t>
      </w:r>
      <w:r w:rsidR="00107F10">
        <w:rPr>
          <w:rFonts w:eastAsia="PMingLiU"/>
          <w:color w:val="000000" w:themeColor="text1"/>
        </w:rPr>
        <w:t>&amp;</w:t>
      </w:r>
      <w:r w:rsidR="00D6244E">
        <w:rPr>
          <w:rFonts w:eastAsia="PMingLiU"/>
          <w:color w:val="000000" w:themeColor="text1"/>
        </w:rPr>
        <w:t>P Global Market Intelligence (S&amp;P Global, formerly SNL Financial).</w:t>
      </w:r>
    </w:p>
    <w:p w14:paraId="3D7C5A55" w14:textId="77777777" w:rsidR="00935BE1" w:rsidRDefault="00935BE1" w:rsidP="00FA56FF">
      <w:pPr>
        <w:widowControl/>
        <w:spacing w:line="240" w:lineRule="auto"/>
        <w:ind w:left="720" w:hanging="720"/>
        <w:jc w:val="both"/>
        <w:rPr>
          <w:rFonts w:eastAsia="PMingLiU"/>
          <w:color w:val="000000" w:themeColor="text1"/>
        </w:rPr>
      </w:pPr>
    </w:p>
    <w:p w14:paraId="33A2D002" w14:textId="21E16BAF" w:rsidR="008B6501" w:rsidRDefault="008B6501" w:rsidP="00204A6E">
      <w:pPr>
        <w:widowControl/>
        <w:spacing w:line="480" w:lineRule="exact"/>
        <w:ind w:left="720" w:hanging="720"/>
        <w:jc w:val="both"/>
        <w:rPr>
          <w:b/>
          <w:bCs/>
          <w:color w:val="000000" w:themeColor="text1"/>
        </w:rPr>
      </w:pPr>
      <w:r>
        <w:rPr>
          <w:b/>
          <w:bCs/>
          <w:color w:val="000000" w:themeColor="text1"/>
        </w:rPr>
        <w:t>Q.</w:t>
      </w:r>
      <w:r>
        <w:rPr>
          <w:b/>
          <w:bCs/>
          <w:color w:val="000000" w:themeColor="text1"/>
        </w:rPr>
        <w:tab/>
        <w:t xml:space="preserve">What issues identified in the Commission’s Preliminary Order </w:t>
      </w:r>
      <w:r w:rsidR="000C03EC">
        <w:rPr>
          <w:b/>
          <w:bCs/>
          <w:color w:val="000000" w:themeColor="text1"/>
        </w:rPr>
        <w:t xml:space="preserve">for this docket, adopted on </w:t>
      </w:r>
      <w:r w:rsidR="000C6C7A">
        <w:rPr>
          <w:b/>
          <w:bCs/>
          <w:color w:val="000000" w:themeColor="text1"/>
        </w:rPr>
        <w:t>June 28, 2021</w:t>
      </w:r>
      <w:r w:rsidR="000C03EC">
        <w:rPr>
          <w:b/>
          <w:bCs/>
          <w:color w:val="000000" w:themeColor="text1"/>
        </w:rPr>
        <w:t>, will you address?</w:t>
      </w:r>
    </w:p>
    <w:p w14:paraId="7604D263" w14:textId="77777777" w:rsidR="00E75036" w:rsidRDefault="00E75036" w:rsidP="00FA56FF">
      <w:pPr>
        <w:widowControl/>
        <w:spacing w:line="240" w:lineRule="auto"/>
        <w:ind w:left="720" w:hanging="720"/>
        <w:jc w:val="both"/>
        <w:rPr>
          <w:color w:val="000000" w:themeColor="text1"/>
        </w:rPr>
      </w:pPr>
    </w:p>
    <w:p w14:paraId="1236B043" w14:textId="344A6EA8" w:rsidR="00E75036" w:rsidRPr="00E75036" w:rsidRDefault="000C03EC" w:rsidP="00033A22">
      <w:pPr>
        <w:widowControl/>
        <w:spacing w:line="240" w:lineRule="auto"/>
        <w:ind w:left="1152" w:right="720" w:hanging="1152"/>
        <w:jc w:val="both"/>
        <w:rPr>
          <w:color w:val="000000" w:themeColor="text1"/>
        </w:rPr>
      </w:pPr>
      <w:r>
        <w:rPr>
          <w:color w:val="000000" w:themeColor="text1"/>
        </w:rPr>
        <w:t>A.</w:t>
      </w:r>
      <w:r>
        <w:rPr>
          <w:color w:val="000000" w:themeColor="text1"/>
        </w:rPr>
        <w:tab/>
      </w:r>
      <w:r w:rsidR="00DC520E">
        <w:rPr>
          <w:color w:val="000000" w:themeColor="text1"/>
        </w:rPr>
        <w:t>7</w:t>
      </w:r>
      <w:r w:rsidR="00E75036" w:rsidRPr="00E75036">
        <w:rPr>
          <w:color w:val="000000" w:themeColor="text1"/>
        </w:rPr>
        <w:t xml:space="preserve">. </w:t>
      </w:r>
      <w:r w:rsidR="00D6244E">
        <w:rPr>
          <w:color w:val="000000" w:themeColor="text1"/>
        </w:rPr>
        <w:tab/>
      </w:r>
      <w:r w:rsidR="00E75036" w:rsidRPr="00E75036">
        <w:rPr>
          <w:color w:val="000000" w:themeColor="text1"/>
        </w:rPr>
        <w:t xml:space="preserve">What is the appropriate debt-to-equity capital structure </w:t>
      </w:r>
      <w:r w:rsidR="00D6244E">
        <w:rPr>
          <w:color w:val="000000" w:themeColor="text1"/>
        </w:rPr>
        <w:t>for El Paso Electric</w:t>
      </w:r>
      <w:r w:rsidR="00E75036" w:rsidRPr="00E75036">
        <w:rPr>
          <w:color w:val="000000" w:themeColor="text1"/>
        </w:rPr>
        <w:t xml:space="preserve">? </w:t>
      </w:r>
    </w:p>
    <w:p w14:paraId="04DD7543" w14:textId="77777777" w:rsidR="009A1C47" w:rsidRDefault="009A1C47" w:rsidP="00033A22">
      <w:pPr>
        <w:widowControl/>
        <w:spacing w:line="240" w:lineRule="auto"/>
        <w:ind w:left="1152" w:right="720" w:hanging="1152"/>
        <w:jc w:val="both"/>
        <w:rPr>
          <w:color w:val="000000" w:themeColor="text1"/>
        </w:rPr>
      </w:pPr>
    </w:p>
    <w:p w14:paraId="5714A679" w14:textId="40E039CE" w:rsidR="00E75036" w:rsidRPr="00E75036" w:rsidRDefault="00DC520E" w:rsidP="00033A22">
      <w:pPr>
        <w:widowControl/>
        <w:spacing w:line="240" w:lineRule="auto"/>
        <w:ind w:left="1440" w:right="720" w:hanging="288"/>
        <w:jc w:val="both"/>
        <w:rPr>
          <w:color w:val="000000" w:themeColor="text1"/>
        </w:rPr>
      </w:pPr>
      <w:r>
        <w:rPr>
          <w:color w:val="000000" w:themeColor="text1"/>
        </w:rPr>
        <w:t>8</w:t>
      </w:r>
      <w:r w:rsidR="00E75036" w:rsidRPr="00E75036">
        <w:rPr>
          <w:color w:val="000000" w:themeColor="text1"/>
        </w:rPr>
        <w:t xml:space="preserve">. </w:t>
      </w:r>
      <w:r w:rsidR="00D6244E">
        <w:rPr>
          <w:color w:val="000000" w:themeColor="text1"/>
        </w:rPr>
        <w:tab/>
      </w:r>
      <w:r w:rsidR="001530F6">
        <w:rPr>
          <w:color w:val="000000" w:themeColor="text1"/>
        </w:rPr>
        <w:t xml:space="preserve">What is the appropriate </w:t>
      </w:r>
      <w:r w:rsidR="00D6244E">
        <w:rPr>
          <w:color w:val="000000" w:themeColor="text1"/>
        </w:rPr>
        <w:t>overall rate of return, return on equity, and cost of debt for El Paso Electric?  When answering this issue, please address how the factors specified in PURA § 36.052 and 16 TAC § 25.231(c)(1) should affect El Paso Electric’s rate of return.</w:t>
      </w:r>
      <w:r w:rsidR="00E75036" w:rsidRPr="00E75036">
        <w:rPr>
          <w:color w:val="000000" w:themeColor="text1"/>
        </w:rPr>
        <w:t xml:space="preserve"> </w:t>
      </w:r>
    </w:p>
    <w:p w14:paraId="718E8DE1" w14:textId="77777777" w:rsidR="009A1C47" w:rsidRDefault="009A1C47" w:rsidP="00033A22">
      <w:pPr>
        <w:widowControl/>
        <w:spacing w:line="240" w:lineRule="auto"/>
        <w:ind w:left="1152" w:right="720" w:hanging="1152"/>
        <w:jc w:val="both"/>
        <w:rPr>
          <w:color w:val="000000" w:themeColor="text1"/>
        </w:rPr>
      </w:pPr>
    </w:p>
    <w:p w14:paraId="0818CB5E" w14:textId="37955FF9" w:rsidR="009A1C47" w:rsidRDefault="001530F6" w:rsidP="00033A22">
      <w:pPr>
        <w:widowControl/>
        <w:spacing w:line="240" w:lineRule="auto"/>
        <w:ind w:left="1440" w:right="720" w:hanging="360"/>
        <w:jc w:val="both"/>
        <w:rPr>
          <w:color w:val="000000" w:themeColor="text1"/>
        </w:rPr>
      </w:pPr>
      <w:r>
        <w:rPr>
          <w:color w:val="000000" w:themeColor="text1"/>
        </w:rPr>
        <w:t>9</w:t>
      </w:r>
      <w:r w:rsidR="009A1C47" w:rsidRPr="009A1C47">
        <w:rPr>
          <w:color w:val="000000" w:themeColor="text1"/>
        </w:rPr>
        <w:t xml:space="preserve">. </w:t>
      </w:r>
      <w:r w:rsidR="00D6244E">
        <w:rPr>
          <w:color w:val="000000" w:themeColor="text1"/>
        </w:rPr>
        <w:tab/>
        <w:t>Are any protections, such as financial protections, appropriate to protect the utility’s financial integrity and ability to provide reliable service at just and reasonable rates</w:t>
      </w:r>
      <w:r>
        <w:rPr>
          <w:color w:val="000000" w:themeColor="text1"/>
        </w:rPr>
        <w:t>?</w:t>
      </w:r>
    </w:p>
    <w:p w14:paraId="6438DC54" w14:textId="73F4B42E" w:rsidR="00EC04D1" w:rsidRDefault="00EC04D1" w:rsidP="00FA56FF">
      <w:pPr>
        <w:widowControl/>
        <w:spacing w:line="240" w:lineRule="auto"/>
        <w:jc w:val="both"/>
        <w:rPr>
          <w:rFonts w:eastAsia="PMingLiU"/>
          <w:color w:val="000000" w:themeColor="text1"/>
        </w:rPr>
      </w:pPr>
    </w:p>
    <w:p w14:paraId="0DB13F7A" w14:textId="77777777" w:rsidR="00424A87" w:rsidRDefault="00424A87" w:rsidP="00FA56FF">
      <w:pPr>
        <w:widowControl/>
        <w:spacing w:line="240" w:lineRule="auto"/>
        <w:jc w:val="both"/>
        <w:rPr>
          <w:rFonts w:eastAsia="PMingLiU"/>
          <w:color w:val="000000" w:themeColor="text1"/>
        </w:rPr>
      </w:pPr>
    </w:p>
    <w:p w14:paraId="0D6473C8" w14:textId="248C54C1" w:rsidR="00B71E2B" w:rsidRPr="00095824" w:rsidRDefault="00B71E2B" w:rsidP="00204A6E">
      <w:pPr>
        <w:spacing w:line="480" w:lineRule="exact"/>
        <w:ind w:left="720" w:hanging="720"/>
        <w:jc w:val="both"/>
        <w:rPr>
          <w:b/>
          <w:bCs/>
        </w:rPr>
      </w:pPr>
      <w:r>
        <w:rPr>
          <w:b/>
          <w:bCs/>
        </w:rPr>
        <w:lastRenderedPageBreak/>
        <w:t>Q.</w:t>
      </w:r>
      <w:r>
        <w:rPr>
          <w:b/>
          <w:bCs/>
        </w:rPr>
        <w:tab/>
      </w:r>
      <w:r w:rsidRPr="00095824">
        <w:rPr>
          <w:b/>
          <w:bCs/>
        </w:rPr>
        <w:t xml:space="preserve">If you do not address an issue or position in your testimony, should that be interpreted as </w:t>
      </w:r>
      <w:r w:rsidR="006F4A52">
        <w:rPr>
          <w:b/>
          <w:bCs/>
        </w:rPr>
        <w:t>you</w:t>
      </w:r>
      <w:r w:rsidRPr="00095824">
        <w:rPr>
          <w:b/>
          <w:bCs/>
        </w:rPr>
        <w:t xml:space="preserve"> </w:t>
      </w:r>
      <w:r w:rsidR="00935BE1">
        <w:rPr>
          <w:b/>
          <w:bCs/>
        </w:rPr>
        <w:t xml:space="preserve">agreeing with or </w:t>
      </w:r>
      <w:r w:rsidRPr="00095824">
        <w:rPr>
          <w:b/>
          <w:bCs/>
        </w:rPr>
        <w:t xml:space="preserve">supporting </w:t>
      </w:r>
      <w:r w:rsidR="00D6244E">
        <w:rPr>
          <w:b/>
          <w:bCs/>
        </w:rPr>
        <w:t>EPE</w:t>
      </w:r>
      <w:r w:rsidRPr="00095824">
        <w:rPr>
          <w:b/>
          <w:bCs/>
        </w:rPr>
        <w:t>’s position on that issue?</w:t>
      </w:r>
    </w:p>
    <w:p w14:paraId="10FDB8AB" w14:textId="1FBBCC55" w:rsidR="00944E19" w:rsidRDefault="00B71E2B" w:rsidP="00204A6E">
      <w:pPr>
        <w:spacing w:line="480" w:lineRule="exact"/>
        <w:ind w:left="720" w:hanging="720"/>
        <w:jc w:val="both"/>
      </w:pPr>
      <w:r>
        <w:t>A.</w:t>
      </w:r>
      <w:r w:rsidR="001F3D9E">
        <w:tab/>
      </w:r>
      <w:r>
        <w:t>No.</w:t>
      </w:r>
    </w:p>
    <w:p w14:paraId="68B96208" w14:textId="77777777" w:rsidR="00204A6E" w:rsidRDefault="00204A6E" w:rsidP="00E932E7">
      <w:pPr>
        <w:spacing w:line="240" w:lineRule="auto"/>
        <w:ind w:left="720" w:hanging="720"/>
        <w:jc w:val="both"/>
      </w:pPr>
    </w:p>
    <w:p w14:paraId="50CC61E7" w14:textId="101BCEF2" w:rsidR="0047702D" w:rsidRDefault="00D6244E" w:rsidP="009E5534">
      <w:pPr>
        <w:pStyle w:val="Heading1"/>
        <w:spacing w:line="480" w:lineRule="atLeast"/>
      </w:pPr>
      <w:r>
        <w:t xml:space="preserve"> </w:t>
      </w:r>
      <w:bookmarkStart w:id="2" w:name="_Toc85035559"/>
      <w:r>
        <w:t>BACKGROUND</w:t>
      </w:r>
      <w:bookmarkEnd w:id="2"/>
    </w:p>
    <w:p w14:paraId="15DEE4FF" w14:textId="28D85E5A" w:rsidR="00D6244E" w:rsidRDefault="00D6244E" w:rsidP="009E5534">
      <w:pPr>
        <w:spacing w:line="480" w:lineRule="atLeast"/>
        <w:ind w:left="720" w:hanging="720"/>
        <w:rPr>
          <w:b/>
          <w:bCs/>
        </w:rPr>
      </w:pPr>
      <w:r>
        <w:rPr>
          <w:b/>
          <w:bCs/>
        </w:rPr>
        <w:t>Q.</w:t>
      </w:r>
      <w:r>
        <w:rPr>
          <w:b/>
          <w:bCs/>
        </w:rPr>
        <w:tab/>
        <w:t>Please briefly describe EPE.</w:t>
      </w:r>
    </w:p>
    <w:p w14:paraId="0FA86B74" w14:textId="1AF17E75" w:rsidR="00D6244E" w:rsidRDefault="00D6244E" w:rsidP="00033A22">
      <w:pPr>
        <w:spacing w:line="480" w:lineRule="atLeast"/>
        <w:ind w:left="720" w:hanging="720"/>
        <w:jc w:val="both"/>
      </w:pPr>
      <w:r>
        <w:t>A.</w:t>
      </w:r>
      <w:r>
        <w:tab/>
      </w:r>
      <w:r w:rsidR="000F5E22">
        <w:t>EPE is a vertically integrated electric utility</w:t>
      </w:r>
      <w:r w:rsidR="00715DE0">
        <w:t>, which means that it engages in the generation, transmission, and distribution of electrical service in its business.  EPE</w:t>
      </w:r>
      <w:r w:rsidR="000F5E22">
        <w:t xml:space="preserve"> provides</w:t>
      </w:r>
      <w:r w:rsidR="00853923">
        <w:t xml:space="preserve"> bundled service to approximately 441,000 retail customers in</w:t>
      </w:r>
      <w:r w:rsidR="00715DE0">
        <w:t xml:space="preserve"> west</w:t>
      </w:r>
      <w:r w:rsidR="00853923">
        <w:t xml:space="preserve"> Texas and</w:t>
      </w:r>
      <w:r w:rsidR="00715DE0">
        <w:t xml:space="preserve"> southern</w:t>
      </w:r>
      <w:r w:rsidR="00853923">
        <w:t xml:space="preserve"> New Mexico</w:t>
      </w:r>
      <w:r w:rsidR="00715DE0">
        <w:t>.</w:t>
      </w:r>
      <w:r w:rsidR="00FE014A">
        <w:rPr>
          <w:rStyle w:val="FootnoteReference"/>
        </w:rPr>
        <w:footnoteReference w:id="1"/>
      </w:r>
      <w:r w:rsidR="00715DE0">
        <w:t xml:space="preserve"> </w:t>
      </w:r>
      <w:r w:rsidR="00853923">
        <w:t xml:space="preserve"> </w:t>
      </w:r>
      <w:r w:rsidR="00715DE0">
        <w:t xml:space="preserve">EPE </w:t>
      </w:r>
      <w:r w:rsidR="00851816">
        <w:t>is</w:t>
      </w:r>
      <w:r w:rsidR="00715DE0">
        <w:t xml:space="preserve"> a wholly owned subsidiary of Sun Jupiter Holdings, LLC</w:t>
      </w:r>
      <w:r w:rsidR="00F03B29">
        <w:t xml:space="preserve"> (SJH)</w:t>
      </w:r>
      <w:r w:rsidR="00715DE0">
        <w:t>, which is a wholly owned subsidiary of IIF US Holding 2</w:t>
      </w:r>
      <w:r w:rsidR="00851816">
        <w:t>,</w:t>
      </w:r>
      <w:r w:rsidR="00715DE0">
        <w:t xml:space="preserve"> LP</w:t>
      </w:r>
      <w:r w:rsidR="000F41AC">
        <w:t xml:space="preserve"> (IIF)</w:t>
      </w:r>
      <w:r w:rsidR="00715DE0">
        <w:t>.</w:t>
      </w:r>
      <w:r w:rsidR="00FE014A">
        <w:rPr>
          <w:rStyle w:val="FootnoteReference"/>
        </w:rPr>
        <w:footnoteReference w:id="2"/>
      </w:r>
    </w:p>
    <w:p w14:paraId="1A525BE5" w14:textId="23E2EA4D" w:rsidR="00851816" w:rsidRDefault="00851816" w:rsidP="00851816">
      <w:pPr>
        <w:spacing w:line="240" w:lineRule="auto"/>
        <w:ind w:left="720" w:hanging="720"/>
      </w:pPr>
    </w:p>
    <w:p w14:paraId="534342D2" w14:textId="17D210D7" w:rsidR="00851816" w:rsidRDefault="00851816" w:rsidP="00851816">
      <w:pPr>
        <w:pStyle w:val="Heading1"/>
        <w:spacing w:line="480" w:lineRule="atLeast"/>
      </w:pPr>
      <w:bookmarkStart w:id="3" w:name="_Toc85035560"/>
      <w:r>
        <w:t>SUMMARY OF RECOMMENDATION ON RATE OF RETURN</w:t>
      </w:r>
      <w:bookmarkEnd w:id="3"/>
    </w:p>
    <w:p w14:paraId="70DCB775" w14:textId="1A82D830" w:rsidR="00851816" w:rsidRDefault="00851816" w:rsidP="00851816">
      <w:pPr>
        <w:spacing w:line="480" w:lineRule="atLeast"/>
        <w:ind w:left="720" w:hanging="720"/>
        <w:rPr>
          <w:b/>
          <w:bCs/>
        </w:rPr>
      </w:pPr>
      <w:r>
        <w:rPr>
          <w:b/>
          <w:bCs/>
        </w:rPr>
        <w:t>Q.</w:t>
      </w:r>
      <w:r>
        <w:rPr>
          <w:b/>
          <w:bCs/>
        </w:rPr>
        <w:tab/>
        <w:t>Please summarize your recommendations in this docket with respect to the rate of return on invested capital.</w:t>
      </w:r>
    </w:p>
    <w:p w14:paraId="28AC750B" w14:textId="6D7865C5" w:rsidR="00851816" w:rsidRDefault="00851816" w:rsidP="00851816">
      <w:pPr>
        <w:spacing w:line="480" w:lineRule="atLeast"/>
        <w:ind w:left="720" w:hanging="720"/>
      </w:pPr>
      <w:r>
        <w:t>A.</w:t>
      </w:r>
      <w:r>
        <w:tab/>
        <w:t>The conclusions I have reached and the recommendations in this docket are as follows:</w:t>
      </w:r>
    </w:p>
    <w:p w14:paraId="3EE5357F" w14:textId="77777777" w:rsidR="00851816" w:rsidRDefault="00851816" w:rsidP="00851816">
      <w:pPr>
        <w:spacing w:line="480" w:lineRule="atLeast"/>
        <w:ind w:left="720" w:hanging="720"/>
      </w:pPr>
    </w:p>
    <w:p w14:paraId="7425D60B" w14:textId="50EC7CDE" w:rsidR="00851816" w:rsidRDefault="00851816" w:rsidP="00033A22">
      <w:pPr>
        <w:pStyle w:val="ListParagraph"/>
        <w:numPr>
          <w:ilvl w:val="0"/>
          <w:numId w:val="45"/>
        </w:numPr>
        <w:spacing w:line="240" w:lineRule="auto"/>
        <w:ind w:left="1080" w:right="720"/>
        <w:jc w:val="both"/>
      </w:pPr>
      <w:r>
        <w:t>The cost of equity for EPE is in the range of 8.87% - 9.1</w:t>
      </w:r>
      <w:r w:rsidR="00C53BBB">
        <w:t>6</w:t>
      </w:r>
      <w:r>
        <w:t>%, as calculated using discounted cash flow (DCF) analyses and equity risk premium models.  The point estimate for my recommended return on equity (ROE) for EPE is 9.</w:t>
      </w:r>
      <w:r w:rsidR="00C53BBB">
        <w:t>2</w:t>
      </w:r>
      <w:r>
        <w:t xml:space="preserve">%.  </w:t>
      </w:r>
    </w:p>
    <w:p w14:paraId="365B8639" w14:textId="77777777" w:rsidR="00851816" w:rsidRDefault="00851816" w:rsidP="00033A22">
      <w:pPr>
        <w:pStyle w:val="ListParagraph"/>
        <w:spacing w:line="240" w:lineRule="auto"/>
        <w:ind w:left="1080" w:right="720"/>
        <w:jc w:val="both"/>
      </w:pPr>
    </w:p>
    <w:p w14:paraId="1B1CBDEA" w14:textId="49CFFFAB" w:rsidR="00851816" w:rsidRDefault="00851816" w:rsidP="00033A22">
      <w:pPr>
        <w:pStyle w:val="ListParagraph"/>
        <w:numPr>
          <w:ilvl w:val="0"/>
          <w:numId w:val="45"/>
        </w:numPr>
        <w:spacing w:line="240" w:lineRule="auto"/>
        <w:ind w:left="1080" w:right="720"/>
        <w:jc w:val="both"/>
      </w:pPr>
      <w:r>
        <w:t>EPE’s actual cost of debt in the test year was 5.58%, and I recommend that the Commission approve 5.58% as the cost of debt for EPE.</w:t>
      </w:r>
    </w:p>
    <w:p w14:paraId="584ED829" w14:textId="77777777" w:rsidR="00851816" w:rsidRDefault="00851816" w:rsidP="00033A22">
      <w:pPr>
        <w:pStyle w:val="ListParagraph"/>
        <w:spacing w:line="240" w:lineRule="auto"/>
        <w:ind w:right="720"/>
        <w:jc w:val="both"/>
      </w:pPr>
    </w:p>
    <w:p w14:paraId="2BA0B958" w14:textId="161F84F2" w:rsidR="00F03B29" w:rsidRDefault="00F03B29" w:rsidP="00033A22">
      <w:pPr>
        <w:pStyle w:val="ListParagraph"/>
        <w:numPr>
          <w:ilvl w:val="0"/>
          <w:numId w:val="45"/>
        </w:numPr>
        <w:spacing w:line="240" w:lineRule="auto"/>
        <w:ind w:left="1080" w:right="720"/>
        <w:jc w:val="both"/>
      </w:pPr>
      <w:r>
        <w:t xml:space="preserve">EPE requests a capital structure for rate-setting purposes that consists of 49% long-term debt and 51% equity.  The requested capital structure is close to EPE’s actual capital structure at the end of the test year of 47.5% long-term debt and 52.5% equity, which adjusts for future debt issuances to fund capital investment </w:t>
      </w:r>
      <w:r>
        <w:lastRenderedPageBreak/>
        <w:t xml:space="preserve">over the next </w:t>
      </w:r>
      <w:r w:rsidR="00107F10">
        <w:t>five</w:t>
      </w:r>
      <w:r>
        <w:t xml:space="preserve"> years.  I recommend that the Commission adopt EPE’s requested regulatory capital structure for rate-setting purposes.</w:t>
      </w:r>
    </w:p>
    <w:p w14:paraId="64BB0E50" w14:textId="77777777" w:rsidR="00F03B29" w:rsidRDefault="00F03B29" w:rsidP="00033A22">
      <w:pPr>
        <w:pStyle w:val="ListParagraph"/>
        <w:spacing w:line="240" w:lineRule="auto"/>
        <w:ind w:right="720"/>
        <w:jc w:val="both"/>
      </w:pPr>
    </w:p>
    <w:p w14:paraId="4B901F5C" w14:textId="405C3120" w:rsidR="00851816" w:rsidRDefault="00F03B29" w:rsidP="00033A22">
      <w:pPr>
        <w:pStyle w:val="ListParagraph"/>
        <w:numPr>
          <w:ilvl w:val="0"/>
          <w:numId w:val="45"/>
        </w:numPr>
        <w:spacing w:line="240" w:lineRule="auto"/>
        <w:ind w:left="1080" w:right="720"/>
        <w:jc w:val="both"/>
      </w:pPr>
      <w:r>
        <w:t>The weighted-average cost of capital and recommended overall rate of return for EPE is 7.4</w:t>
      </w:r>
      <w:r w:rsidR="00C53BBB">
        <w:t>2</w:t>
      </w:r>
      <w:r>
        <w:t>%.  Attachment ES-3 presents the calculation of this value from the recommended capital structure and the component costs of capital.</w:t>
      </w:r>
    </w:p>
    <w:p w14:paraId="05A27106" w14:textId="77777777" w:rsidR="00F03B29" w:rsidRDefault="00F03B29" w:rsidP="00F03B29">
      <w:pPr>
        <w:pStyle w:val="ListParagraph"/>
        <w:spacing w:line="240" w:lineRule="auto"/>
      </w:pPr>
    </w:p>
    <w:p w14:paraId="55653E3F" w14:textId="357D4AEB" w:rsidR="00F03B29" w:rsidRPr="000F41AC" w:rsidRDefault="00107F10" w:rsidP="00033A22">
      <w:pPr>
        <w:pStyle w:val="ListParagraph"/>
        <w:numPr>
          <w:ilvl w:val="0"/>
          <w:numId w:val="45"/>
        </w:numPr>
        <w:spacing w:line="240" w:lineRule="auto"/>
        <w:ind w:left="1080" w:right="720"/>
        <w:jc w:val="both"/>
      </w:pPr>
      <w:r>
        <w:t>To protect EPE’s financial integrity, t</w:t>
      </w:r>
      <w:r w:rsidR="00F03B29">
        <w:t xml:space="preserve">he Commission should maintain the set of protective measures </w:t>
      </w:r>
      <w:r>
        <w:t>ordered</w:t>
      </w:r>
      <w:r w:rsidR="00F03B29">
        <w:t xml:space="preserve"> in Docket No. 49849.</w:t>
      </w:r>
      <w:r w:rsidR="00F03B29">
        <w:rPr>
          <w:rStyle w:val="FootnoteReference"/>
        </w:rPr>
        <w:footnoteReference w:id="3"/>
      </w:r>
      <w:r w:rsidR="00BF2F1F">
        <w:t xml:space="preserve"> </w:t>
      </w:r>
      <w:r w:rsidR="00F03B29">
        <w:t>I recommend that the Commission require EPE to maintain these policies and requirements that are designed to create an effective degree of insulation between EPE and its parent compan</w:t>
      </w:r>
      <w:r w:rsidR="000F41AC">
        <w:t>ies</w:t>
      </w:r>
      <w:r w:rsidR="00F03B29">
        <w:t>, SJH</w:t>
      </w:r>
      <w:r w:rsidR="000F41AC">
        <w:t xml:space="preserve"> and IIF</w:t>
      </w:r>
      <w:r w:rsidR="00A73E3C">
        <w:t xml:space="preserve">, and </w:t>
      </w:r>
      <w:r w:rsidR="00B327DE">
        <w:t xml:space="preserve">I further recommend </w:t>
      </w:r>
      <w:r w:rsidR="00A73E3C">
        <w:t>three additional provisions</w:t>
      </w:r>
      <w:r w:rsidR="00F03B29">
        <w:t xml:space="preserve">.  These measures </w:t>
      </w:r>
      <w:r w:rsidR="00B327DE">
        <w:t xml:space="preserve">will </w:t>
      </w:r>
      <w:r w:rsidR="00F03B29">
        <w:t xml:space="preserve">provide EPE with meaningful </w:t>
      </w:r>
      <w:r w:rsidR="000F41AC">
        <w:t xml:space="preserve">protections against financial distress experienced by non-EPE entities that are part of the SJH and IIF organizations. </w:t>
      </w:r>
      <w:r w:rsidR="000F41AC" w:rsidRPr="00B61AF7">
        <w:t xml:space="preserve">In section </w:t>
      </w:r>
      <w:r w:rsidR="00B61AF7" w:rsidRPr="00B61AF7">
        <w:t>X</w:t>
      </w:r>
      <w:r w:rsidR="000F41AC" w:rsidRPr="00B61AF7">
        <w:t xml:space="preserve">, I discuss these issues in more detail. </w:t>
      </w:r>
    </w:p>
    <w:p w14:paraId="59827492" w14:textId="77777777" w:rsidR="000F41AC" w:rsidRPr="00851816" w:rsidRDefault="000F41AC" w:rsidP="000F41AC">
      <w:pPr>
        <w:spacing w:line="240" w:lineRule="auto"/>
      </w:pPr>
    </w:p>
    <w:p w14:paraId="0E93F3BD" w14:textId="58F5FB22" w:rsidR="003F23CA" w:rsidRPr="00437A61" w:rsidRDefault="000F41AC" w:rsidP="00204A6E">
      <w:pPr>
        <w:pStyle w:val="Heading1"/>
        <w:spacing w:line="480" w:lineRule="exact"/>
        <w:ind w:left="720" w:hanging="720"/>
        <w:jc w:val="both"/>
      </w:pPr>
      <w:bookmarkStart w:id="4" w:name="_Toc85035561"/>
      <w:r>
        <w:t>RATE OF RETURN</w:t>
      </w:r>
      <w:bookmarkEnd w:id="4"/>
    </w:p>
    <w:p w14:paraId="3EBD4E27" w14:textId="16568579" w:rsidR="000F41AC" w:rsidRDefault="000F41AC" w:rsidP="000F41AC">
      <w:pPr>
        <w:pStyle w:val="Heading2"/>
        <w:spacing w:line="480" w:lineRule="atLeast"/>
      </w:pPr>
      <w:bookmarkStart w:id="5" w:name="_Toc85035562"/>
      <w:r>
        <w:t>PRINCIPLES UNDERLYING THE COST OF EQUITY</w:t>
      </w:r>
      <w:bookmarkEnd w:id="5"/>
    </w:p>
    <w:p w14:paraId="4CB9FB12" w14:textId="078AB23A" w:rsidR="003F23CA" w:rsidRPr="00437A61" w:rsidRDefault="003F23CA" w:rsidP="000F41AC">
      <w:pPr>
        <w:tabs>
          <w:tab w:val="left" w:pos="0"/>
        </w:tabs>
        <w:spacing w:line="480" w:lineRule="atLeast"/>
        <w:ind w:left="720" w:hanging="720"/>
        <w:jc w:val="both"/>
        <w:rPr>
          <w:b/>
          <w:szCs w:val="26"/>
        </w:rPr>
      </w:pPr>
      <w:r w:rsidRPr="00437A61">
        <w:rPr>
          <w:b/>
          <w:szCs w:val="26"/>
        </w:rPr>
        <w:t>Q.</w:t>
      </w:r>
      <w:r w:rsidRPr="00437A61">
        <w:rPr>
          <w:b/>
          <w:szCs w:val="26"/>
        </w:rPr>
        <w:tab/>
      </w:r>
      <w:r w:rsidR="000F41AC">
        <w:rPr>
          <w:b/>
          <w:szCs w:val="26"/>
        </w:rPr>
        <w:t>Please provide your understanding of the legal guidelines for the determination of the cost of equity</w:t>
      </w:r>
      <w:r w:rsidR="00B327DE">
        <w:rPr>
          <w:b/>
          <w:szCs w:val="26"/>
        </w:rPr>
        <w:t>.</w:t>
      </w:r>
    </w:p>
    <w:p w14:paraId="2218E6D6" w14:textId="2CDF20B8" w:rsidR="00BF2F1F" w:rsidRDefault="003F23CA" w:rsidP="00BF2F1F">
      <w:pPr>
        <w:tabs>
          <w:tab w:val="left" w:pos="0"/>
        </w:tabs>
        <w:spacing w:line="480" w:lineRule="exact"/>
        <w:ind w:left="720" w:hanging="720"/>
        <w:jc w:val="both"/>
      </w:pPr>
      <w:r w:rsidRPr="00437A61">
        <w:rPr>
          <w:szCs w:val="26"/>
        </w:rPr>
        <w:t>A.</w:t>
      </w:r>
      <w:r w:rsidRPr="00437A61">
        <w:rPr>
          <w:szCs w:val="26"/>
        </w:rPr>
        <w:tab/>
      </w:r>
      <w:r w:rsidR="000F41AC">
        <w:rPr>
          <w:szCs w:val="26"/>
        </w:rPr>
        <w:t xml:space="preserve">The general framework for evaluating the cost of equity for regulated utilities is based on two decisions of the U.S. Supreme Court.  In </w:t>
      </w:r>
      <w:r w:rsidR="000F41AC">
        <w:t>the decision for</w:t>
      </w:r>
      <w:r w:rsidR="000F41AC" w:rsidRPr="00540440">
        <w:rPr>
          <w:i/>
        </w:rPr>
        <w:t xml:space="preserve"> </w:t>
      </w:r>
      <w:r w:rsidR="000F41AC" w:rsidRPr="005B385C">
        <w:rPr>
          <w:i/>
        </w:rPr>
        <w:t>Bluefield Water Works &amp; Improvement Co. v. Public Service Commission of West Virginia</w:t>
      </w:r>
      <w:r w:rsidR="000F41AC" w:rsidRPr="005B385C">
        <w:t xml:space="preserve"> (</w:t>
      </w:r>
      <w:r w:rsidR="000F41AC" w:rsidRPr="00AA192E">
        <w:rPr>
          <w:i/>
        </w:rPr>
        <w:t>Bluefield</w:t>
      </w:r>
      <w:r w:rsidR="000F41AC">
        <w:t>),</w:t>
      </w:r>
      <w:r w:rsidR="000F41AC">
        <w:rPr>
          <w:rStyle w:val="FootnoteReference"/>
        </w:rPr>
        <w:footnoteReference w:id="4"/>
      </w:r>
      <w:r w:rsidR="000F41AC" w:rsidRPr="00AA192E">
        <w:rPr>
          <w:i/>
        </w:rPr>
        <w:t xml:space="preserve"> </w:t>
      </w:r>
      <w:r w:rsidR="000F41AC" w:rsidRPr="0088510E">
        <w:t xml:space="preserve">the </w:t>
      </w:r>
      <w:r w:rsidR="000F41AC">
        <w:t>C</w:t>
      </w:r>
      <w:r w:rsidR="000F41AC" w:rsidRPr="0088510E">
        <w:t>ourt stated:</w:t>
      </w:r>
    </w:p>
    <w:p w14:paraId="06F70F29" w14:textId="77777777" w:rsidR="00BF2F1F" w:rsidRPr="0088510E" w:rsidRDefault="00BF2F1F" w:rsidP="00B2645A">
      <w:pPr>
        <w:tabs>
          <w:tab w:val="left" w:pos="0"/>
        </w:tabs>
        <w:spacing w:line="480" w:lineRule="exact"/>
        <w:ind w:left="720" w:hanging="720"/>
        <w:jc w:val="both"/>
      </w:pPr>
    </w:p>
    <w:p w14:paraId="14ADF801" w14:textId="77777777" w:rsidR="000F41AC" w:rsidRPr="000F41AC" w:rsidRDefault="000F41AC" w:rsidP="000F41AC">
      <w:pPr>
        <w:pStyle w:val="PlainText"/>
        <w:spacing w:after="240"/>
        <w:ind w:left="1440" w:right="1008"/>
        <w:jc w:val="both"/>
        <w:rPr>
          <w:rFonts w:ascii="Times New Roman" w:hAnsi="Times New Roman"/>
          <w:sz w:val="24"/>
          <w:szCs w:val="24"/>
        </w:rPr>
      </w:pPr>
      <w:r w:rsidRPr="000F41AC">
        <w:rPr>
          <w:rFonts w:ascii="Times New Roman" w:hAnsi="Times New Roman"/>
          <w:sz w:val="24"/>
          <w:szCs w:val="24"/>
        </w:rPr>
        <w:t xml:space="preserve">The return should be reasonably sufficient to assure confidence in the financial soundness of the utility and should be adequate, under efficient and economical management, to maintain and support its credit and enable </w:t>
      </w:r>
      <w:r w:rsidRPr="000F41AC">
        <w:rPr>
          <w:rFonts w:ascii="Times New Roman" w:hAnsi="Times New Roman"/>
          <w:sz w:val="24"/>
          <w:szCs w:val="24"/>
        </w:rPr>
        <w:lastRenderedPageBreak/>
        <w:t>it to raise the money necessary for the proper discharge of its public duties.</w:t>
      </w:r>
      <w:r w:rsidRPr="000F41AC">
        <w:rPr>
          <w:rStyle w:val="FootnoteReference"/>
          <w:szCs w:val="24"/>
        </w:rPr>
        <w:footnoteReference w:id="5"/>
      </w:r>
    </w:p>
    <w:p w14:paraId="710FEE9D" w14:textId="7C7C51A2" w:rsidR="000F41AC" w:rsidRDefault="000F41AC" w:rsidP="009E5534">
      <w:pPr>
        <w:pStyle w:val="PlainText"/>
        <w:spacing w:line="480" w:lineRule="atLeast"/>
        <w:ind w:left="720"/>
        <w:jc w:val="both"/>
        <w:rPr>
          <w:rFonts w:ascii="Times New Roman" w:hAnsi="Times New Roman"/>
          <w:sz w:val="24"/>
          <w:szCs w:val="24"/>
        </w:rPr>
      </w:pPr>
      <w:r w:rsidRPr="000F41AC">
        <w:rPr>
          <w:rFonts w:ascii="Times New Roman" w:hAnsi="Times New Roman"/>
          <w:sz w:val="24"/>
          <w:szCs w:val="24"/>
        </w:rPr>
        <w:t xml:space="preserve">This decision established financial integrity and capital attraction as standards to be met in setting the rate of return.  In the decision for </w:t>
      </w:r>
      <w:r w:rsidRPr="000F41AC">
        <w:rPr>
          <w:rFonts w:ascii="Times New Roman" w:hAnsi="Times New Roman"/>
          <w:i/>
          <w:sz w:val="24"/>
          <w:szCs w:val="24"/>
        </w:rPr>
        <w:t>Federal Power Commission v. Hope Natural Gas Co.</w:t>
      </w:r>
      <w:r w:rsidRPr="000F41AC">
        <w:rPr>
          <w:rFonts w:ascii="Times New Roman" w:hAnsi="Times New Roman"/>
          <w:sz w:val="24"/>
          <w:szCs w:val="24"/>
        </w:rPr>
        <w:t xml:space="preserve"> (</w:t>
      </w:r>
      <w:r w:rsidRPr="000F41AC">
        <w:rPr>
          <w:rFonts w:ascii="Times New Roman" w:hAnsi="Times New Roman"/>
          <w:i/>
          <w:sz w:val="24"/>
          <w:szCs w:val="24"/>
        </w:rPr>
        <w:t>Hope</w:t>
      </w:r>
      <w:r w:rsidRPr="000F41AC">
        <w:rPr>
          <w:rFonts w:ascii="Times New Roman" w:hAnsi="Times New Roman"/>
          <w:sz w:val="24"/>
          <w:szCs w:val="24"/>
        </w:rPr>
        <w:t>),</w:t>
      </w:r>
      <w:r w:rsidRPr="000F41AC">
        <w:rPr>
          <w:rStyle w:val="FootnoteReference"/>
          <w:szCs w:val="24"/>
        </w:rPr>
        <w:footnoteReference w:id="6"/>
      </w:r>
      <w:r w:rsidRPr="000F41AC">
        <w:rPr>
          <w:rFonts w:ascii="Times New Roman" w:hAnsi="Times New Roman"/>
          <w:sz w:val="24"/>
          <w:szCs w:val="24"/>
        </w:rPr>
        <w:t xml:space="preserve"> the Court stated:</w:t>
      </w:r>
    </w:p>
    <w:p w14:paraId="4854AF7C" w14:textId="77777777" w:rsidR="009E5534" w:rsidRDefault="009E5534" w:rsidP="009E5534">
      <w:pPr>
        <w:pStyle w:val="PlainText"/>
        <w:spacing w:line="480" w:lineRule="atLeast"/>
        <w:ind w:left="720"/>
        <w:jc w:val="both"/>
        <w:rPr>
          <w:rFonts w:ascii="Times New Roman" w:hAnsi="Times New Roman"/>
          <w:sz w:val="24"/>
          <w:szCs w:val="24"/>
        </w:rPr>
      </w:pPr>
    </w:p>
    <w:p w14:paraId="0B41FC58" w14:textId="77777777" w:rsidR="000F41AC" w:rsidRPr="000F41AC" w:rsidRDefault="000F41AC" w:rsidP="00033A22">
      <w:pPr>
        <w:pStyle w:val="PlainText"/>
        <w:spacing w:after="120"/>
        <w:ind w:left="1440" w:right="1008"/>
        <w:jc w:val="both"/>
        <w:rPr>
          <w:rFonts w:ascii="Times New Roman" w:hAnsi="Times New Roman"/>
          <w:sz w:val="24"/>
          <w:szCs w:val="24"/>
        </w:rPr>
      </w:pPr>
      <w:r>
        <w:rPr>
          <w:rFonts w:ascii="Times New Roman" w:hAnsi="Times New Roman"/>
        </w:rPr>
        <w:t xml:space="preserve"> </w:t>
      </w:r>
      <w:r w:rsidRPr="000F41AC">
        <w:rPr>
          <w:rFonts w:ascii="Times New Roman" w:hAnsi="Times New Roman"/>
          <w:sz w:val="24"/>
          <w:szCs w:val="24"/>
        </w:rPr>
        <w:t>. . . [T]he return to the equity owner should be commensurate with returns on investments in other enterprises having corresponding risks. That return, moreover, should be sufficient to assure confidence in the financial integrity of the enterprise so as to maintain its credit and to attract capital.</w:t>
      </w:r>
      <w:r w:rsidRPr="000F41AC">
        <w:rPr>
          <w:rStyle w:val="FootnoteReference"/>
          <w:szCs w:val="24"/>
        </w:rPr>
        <w:footnoteReference w:id="7"/>
      </w:r>
    </w:p>
    <w:p w14:paraId="52260D97" w14:textId="209CD8CF" w:rsidR="00334FE8" w:rsidRDefault="000F41AC" w:rsidP="000F41AC">
      <w:pPr>
        <w:pStyle w:val="PlainText"/>
        <w:spacing w:line="480" w:lineRule="atLeast"/>
        <w:ind w:left="720"/>
        <w:jc w:val="both"/>
        <w:rPr>
          <w:rFonts w:ascii="Times New Roman" w:hAnsi="Times New Roman"/>
          <w:sz w:val="24"/>
          <w:szCs w:val="24"/>
        </w:rPr>
      </w:pPr>
      <w:r w:rsidRPr="000F41AC">
        <w:rPr>
          <w:rFonts w:ascii="Times New Roman" w:hAnsi="Times New Roman"/>
          <w:sz w:val="24"/>
          <w:szCs w:val="24"/>
        </w:rPr>
        <w:t>This decision reinforced the standards of financial integrity and capital attraction, and it further established the standard of setting a return on equity that is commensurate with the risks faced by the equity investor.  From a financial perspective, investors in a utility must be given the opportunity to recover their reasonable capital costs, including a reasonable return on equity.</w:t>
      </w:r>
    </w:p>
    <w:p w14:paraId="7B4ABBBA" w14:textId="77777777" w:rsidR="009E5534" w:rsidRDefault="009E5534" w:rsidP="000F41AC">
      <w:pPr>
        <w:pStyle w:val="PlainText"/>
        <w:ind w:left="720"/>
        <w:jc w:val="both"/>
        <w:rPr>
          <w:szCs w:val="26"/>
        </w:rPr>
      </w:pPr>
    </w:p>
    <w:p w14:paraId="2B9E137D" w14:textId="24C1399D" w:rsidR="009E5534" w:rsidRDefault="009E5534" w:rsidP="000F41AC">
      <w:pPr>
        <w:spacing w:line="480" w:lineRule="atLeast"/>
        <w:ind w:left="720" w:hanging="720"/>
        <w:jc w:val="both"/>
        <w:rPr>
          <w:b/>
        </w:rPr>
      </w:pPr>
      <w:r>
        <w:rPr>
          <w:b/>
        </w:rPr>
        <w:t>Q.</w:t>
      </w:r>
      <w:r>
        <w:rPr>
          <w:b/>
        </w:rPr>
        <w:tab/>
        <w:t>Did these court decisions address the specific methods by which the ROE should be determined?</w:t>
      </w:r>
    </w:p>
    <w:p w14:paraId="23CBF20F" w14:textId="68CCA87E" w:rsidR="009E5534" w:rsidRDefault="009E5534" w:rsidP="000F41AC">
      <w:pPr>
        <w:spacing w:line="480" w:lineRule="atLeast"/>
        <w:ind w:left="720" w:hanging="720"/>
        <w:jc w:val="both"/>
        <w:rPr>
          <w:bCs/>
        </w:rPr>
      </w:pPr>
      <w:r>
        <w:rPr>
          <w:bCs/>
        </w:rPr>
        <w:t>A.</w:t>
      </w:r>
      <w:r>
        <w:rPr>
          <w:bCs/>
        </w:rPr>
        <w:tab/>
        <w:t xml:space="preserve">No.  Although the court decisions were helpful in establishing a general framework for the evaluation, they did not specify any particular methods to achieve this objective.  Consequently, analysts use various techniques in determining the cost of equity.  These techniques continue to evolve as new financial theories are advanced and the understanding of capital markets improves. </w:t>
      </w:r>
    </w:p>
    <w:p w14:paraId="08E9C9BE" w14:textId="77777777" w:rsidR="009E5534" w:rsidRPr="009E5534" w:rsidRDefault="009E5534" w:rsidP="009E5534">
      <w:pPr>
        <w:spacing w:line="240" w:lineRule="auto"/>
        <w:ind w:left="720" w:hanging="720"/>
        <w:jc w:val="both"/>
        <w:rPr>
          <w:bCs/>
        </w:rPr>
      </w:pPr>
    </w:p>
    <w:p w14:paraId="434959FD" w14:textId="58BBDAE8" w:rsidR="009E5534" w:rsidRDefault="009E5534" w:rsidP="000F41AC">
      <w:pPr>
        <w:spacing w:line="480" w:lineRule="atLeast"/>
        <w:ind w:left="720" w:hanging="720"/>
        <w:jc w:val="both"/>
        <w:rPr>
          <w:b/>
        </w:rPr>
      </w:pPr>
      <w:r>
        <w:rPr>
          <w:b/>
        </w:rPr>
        <w:lastRenderedPageBreak/>
        <w:t>Q.</w:t>
      </w:r>
      <w:r>
        <w:rPr>
          <w:b/>
        </w:rPr>
        <w:tab/>
        <w:t>What ultimately determines require</w:t>
      </w:r>
      <w:r w:rsidR="00B327DE">
        <w:rPr>
          <w:b/>
        </w:rPr>
        <w:t>d</w:t>
      </w:r>
      <w:r>
        <w:rPr>
          <w:b/>
        </w:rPr>
        <w:t xml:space="preserve"> ROEs?</w:t>
      </w:r>
    </w:p>
    <w:p w14:paraId="5AB23A4F" w14:textId="31BE98EB" w:rsidR="00F712FC" w:rsidRDefault="009E5534" w:rsidP="000F41AC">
      <w:pPr>
        <w:spacing w:line="480" w:lineRule="atLeast"/>
        <w:ind w:left="720" w:hanging="720"/>
        <w:jc w:val="both"/>
        <w:rPr>
          <w:bCs/>
        </w:rPr>
      </w:pPr>
      <w:r>
        <w:rPr>
          <w:bCs/>
        </w:rPr>
        <w:t>A.</w:t>
      </w:r>
      <w:r>
        <w:rPr>
          <w:bCs/>
        </w:rPr>
        <w:tab/>
        <w:t>Ultimately, capital markets determine the required return on equity for an electric utility or any publicly traded company.  Through the interaction of the buyers and sellers of a company’s common stock, the company’s equity cost, i.e.</w:t>
      </w:r>
      <w:r w:rsidR="00B327DE">
        <w:rPr>
          <w:bCs/>
        </w:rPr>
        <w:t>,</w:t>
      </w:r>
      <w:r>
        <w:rPr>
          <w:bCs/>
        </w:rPr>
        <w:t xml:space="preserve"> the required ROE, is established.  Given the market price for a share of common stock, a financial analyst desiring to measure the cost of equity must accurately assess the sum of all investor expectations for the company in question</w:t>
      </w:r>
      <w:r w:rsidR="00F712FC">
        <w:rPr>
          <w:bCs/>
        </w:rPr>
        <w:t xml:space="preserve">, or for a group of comparable companies, or for both.  Data generated by stock exchanges and opinions of investment advisors are important considerations in making these assessments. </w:t>
      </w:r>
    </w:p>
    <w:p w14:paraId="1E81ECC6" w14:textId="5ED634BE" w:rsidR="009E5534" w:rsidRPr="009E5534" w:rsidRDefault="00F712FC" w:rsidP="00F712FC">
      <w:pPr>
        <w:spacing w:line="240" w:lineRule="auto"/>
        <w:ind w:left="720" w:hanging="720"/>
        <w:jc w:val="both"/>
        <w:rPr>
          <w:bCs/>
        </w:rPr>
      </w:pPr>
      <w:r>
        <w:rPr>
          <w:bCs/>
        </w:rPr>
        <w:t xml:space="preserve"> </w:t>
      </w:r>
      <w:r w:rsidR="009E5534">
        <w:rPr>
          <w:bCs/>
        </w:rPr>
        <w:t xml:space="preserve"> </w:t>
      </w:r>
    </w:p>
    <w:p w14:paraId="65B38C50" w14:textId="105E1D69" w:rsidR="003F23CA" w:rsidRPr="00437A61" w:rsidRDefault="003F23CA" w:rsidP="000F41AC">
      <w:pPr>
        <w:spacing w:line="480" w:lineRule="atLeast"/>
        <w:ind w:left="720" w:hanging="720"/>
        <w:jc w:val="both"/>
        <w:rPr>
          <w:b/>
        </w:rPr>
      </w:pPr>
      <w:r w:rsidRPr="00437A61">
        <w:rPr>
          <w:b/>
        </w:rPr>
        <w:t>Q.</w:t>
      </w:r>
      <w:r w:rsidRPr="00437A61">
        <w:rPr>
          <w:b/>
        </w:rPr>
        <w:tab/>
      </w:r>
      <w:r w:rsidR="00F712FC">
        <w:rPr>
          <w:b/>
        </w:rPr>
        <w:t>Should variation be expected among analysts in their estimates of the cost of equity</w:t>
      </w:r>
      <w:r w:rsidRPr="00437A61">
        <w:rPr>
          <w:b/>
        </w:rPr>
        <w:t>?</w:t>
      </w:r>
    </w:p>
    <w:p w14:paraId="17DE2937" w14:textId="578BDC8F" w:rsidR="008E0D83" w:rsidRDefault="003F23CA" w:rsidP="00FD670E">
      <w:pPr>
        <w:tabs>
          <w:tab w:val="left" w:pos="0"/>
        </w:tabs>
        <w:spacing w:line="480" w:lineRule="atLeast"/>
        <w:ind w:left="720" w:hanging="720"/>
        <w:jc w:val="both"/>
        <w:rPr>
          <w:szCs w:val="26"/>
        </w:rPr>
      </w:pPr>
      <w:r w:rsidRPr="00437A61">
        <w:t>A.</w:t>
      </w:r>
      <w:r w:rsidRPr="00437A61">
        <w:tab/>
      </w:r>
      <w:r w:rsidR="00F712FC">
        <w:rPr>
          <w:szCs w:val="26"/>
        </w:rPr>
        <w:t>Yes.  Because estimating the cost of equity involves subjective opinion at various stages of the analysis, there is no single infallible approach that is appropriate in all circumstances.  The opinions of experts can differ widely on many factors relevant to the cost of equity, such as basic assumptions about risk, economic conditions, and investor expectations.  Variations in the chosen approaches, and even in the application of the same approach by different analysts, are commonplace and can be expected.  The results of various methods, however, should generally be close to each other or their estimates should have overlapping ranges.</w:t>
      </w:r>
    </w:p>
    <w:p w14:paraId="2B993B48" w14:textId="78E8D771" w:rsidR="00FD670E" w:rsidRDefault="00FD670E" w:rsidP="00FD670E">
      <w:pPr>
        <w:tabs>
          <w:tab w:val="left" w:pos="0"/>
        </w:tabs>
        <w:spacing w:line="240" w:lineRule="auto"/>
        <w:ind w:left="720" w:hanging="720"/>
        <w:jc w:val="both"/>
        <w:rPr>
          <w:szCs w:val="26"/>
        </w:rPr>
      </w:pPr>
    </w:p>
    <w:p w14:paraId="537C1B3A" w14:textId="77777777" w:rsidR="00FD670E" w:rsidRPr="007234AB" w:rsidRDefault="00FD670E" w:rsidP="00FD670E">
      <w:pPr>
        <w:pStyle w:val="answer"/>
        <w:tabs>
          <w:tab w:val="left" w:pos="720"/>
        </w:tabs>
        <w:spacing w:after="0" w:line="480" w:lineRule="atLeast"/>
        <w:ind w:right="0"/>
        <w:rPr>
          <w:b/>
        </w:rPr>
      </w:pPr>
      <w:r w:rsidRPr="007234AB">
        <w:rPr>
          <w:b/>
        </w:rPr>
        <w:t xml:space="preserve">Q.  </w:t>
      </w:r>
      <w:r w:rsidRPr="007234AB">
        <w:rPr>
          <w:b/>
        </w:rPr>
        <w:tab/>
        <w:t>Should variation be expected among models and the inputs used in those models?</w:t>
      </w:r>
    </w:p>
    <w:p w14:paraId="5B2D6B84" w14:textId="77777777" w:rsidR="00FD670E" w:rsidRDefault="00FD670E" w:rsidP="00FD670E">
      <w:pPr>
        <w:pStyle w:val="answer"/>
        <w:tabs>
          <w:tab w:val="left" w:pos="720"/>
        </w:tabs>
        <w:spacing w:after="0" w:line="480" w:lineRule="atLeast"/>
        <w:ind w:right="0"/>
      </w:pPr>
      <w:r>
        <w:t>A.</w:t>
      </w:r>
      <w:r>
        <w:tab/>
      </w:r>
      <w:r>
        <w:tab/>
        <w:t xml:space="preserve">Yes.  Certain financial models have a long tenure with regard to utility financial analysis.  It is common, however, for rate-of-return witnesses to employ different specific models, and it is even more common for inputs used in the models to vary between rate-of-return witnesses.  </w:t>
      </w:r>
    </w:p>
    <w:p w14:paraId="788292EC" w14:textId="7A704A98" w:rsidR="00FD670E" w:rsidRDefault="00424A87" w:rsidP="00424A87">
      <w:pPr>
        <w:pStyle w:val="answer"/>
        <w:tabs>
          <w:tab w:val="clear" w:pos="-3420"/>
          <w:tab w:val="clear" w:pos="360"/>
          <w:tab w:val="left" w:pos="720"/>
        </w:tabs>
        <w:spacing w:after="0" w:line="480" w:lineRule="atLeast"/>
        <w:ind w:right="0" w:firstLine="0"/>
      </w:pPr>
      <w:r>
        <w:tab/>
      </w:r>
      <w:r>
        <w:tab/>
      </w:r>
      <w:r w:rsidR="00FD670E">
        <w:t xml:space="preserve">As a general matter, an input to a financial model should be judged on how it functions within the operations of the overall model, and not on its own outside the context of the </w:t>
      </w:r>
      <w:r w:rsidR="00FD670E">
        <w:lastRenderedPageBreak/>
        <w:t>model in which it is used.  A model, moreover, should be judged by its holistic mechanics and the reasonableness of the results that it yields, not by any individual inputs.</w:t>
      </w:r>
    </w:p>
    <w:p w14:paraId="444B5E1F" w14:textId="77777777" w:rsidR="00FD670E" w:rsidRDefault="00FD670E" w:rsidP="00FD670E">
      <w:pPr>
        <w:pStyle w:val="question"/>
        <w:numPr>
          <w:ilvl w:val="0"/>
          <w:numId w:val="46"/>
        </w:numPr>
        <w:spacing w:before="240" w:line="480" w:lineRule="atLeast"/>
        <w:ind w:left="720" w:hanging="720"/>
      </w:pPr>
      <w:r>
        <w:t>What models and techniques did you use to estimate the cost of equity for the Company?</w:t>
      </w:r>
    </w:p>
    <w:p w14:paraId="1A66A4CE" w14:textId="4A51CE82" w:rsidR="00FD670E" w:rsidRDefault="00FD670E" w:rsidP="00FD670E">
      <w:pPr>
        <w:pStyle w:val="answer"/>
        <w:numPr>
          <w:ilvl w:val="0"/>
          <w:numId w:val="38"/>
        </w:numPr>
        <w:tabs>
          <w:tab w:val="clear" w:pos="360"/>
          <w:tab w:val="num" w:pos="-3420"/>
          <w:tab w:val="left" w:pos="720"/>
        </w:tabs>
        <w:spacing w:after="0" w:line="480" w:lineRule="atLeast"/>
        <w:ind w:left="720" w:right="0" w:hanging="720"/>
      </w:pPr>
      <w:r>
        <w:t xml:space="preserve">I used three approaches to estimate a cost of equity for EPE.  Two are </w:t>
      </w:r>
      <w:r w:rsidR="00F60D1D">
        <w:t xml:space="preserve">DCF </w:t>
      </w:r>
      <w:r>
        <w:t>approaches</w:t>
      </w:r>
      <w:r w:rsidR="00F60D1D">
        <w:t>,</w:t>
      </w:r>
      <w:r>
        <w:t xml:space="preserve"> and one is a risk-premium approach. </w:t>
      </w:r>
    </w:p>
    <w:p w14:paraId="6ECD28A2" w14:textId="77777777" w:rsidR="00FD670E" w:rsidRDefault="00FD670E" w:rsidP="00FD670E">
      <w:pPr>
        <w:pStyle w:val="answer"/>
        <w:tabs>
          <w:tab w:val="clear" w:pos="-3420"/>
          <w:tab w:val="left" w:pos="720"/>
        </w:tabs>
        <w:spacing w:after="0" w:line="480" w:lineRule="atLeast"/>
        <w:ind w:right="0" w:firstLine="720"/>
      </w:pPr>
      <w:r>
        <w:t xml:space="preserve">The DCF methodology determines the price of a stock by estimating the value of future cash flows that the stock will produce for its owners.  I discuss this method and its application in the analysis in </w:t>
      </w:r>
      <w:r w:rsidRPr="000412F5">
        <w:t>Part C</w:t>
      </w:r>
      <w:r>
        <w:t xml:space="preserve"> of this section of my testimony.</w:t>
      </w:r>
    </w:p>
    <w:p w14:paraId="4F9CB8BA" w14:textId="1545C48C" w:rsidR="00FD670E" w:rsidRDefault="00FD670E" w:rsidP="00FD670E">
      <w:pPr>
        <w:pStyle w:val="answer"/>
        <w:tabs>
          <w:tab w:val="clear" w:pos="-3420"/>
          <w:tab w:val="left" w:pos="720"/>
        </w:tabs>
        <w:spacing w:after="0" w:line="480" w:lineRule="atLeast"/>
        <w:ind w:right="0" w:firstLine="720"/>
      </w:pPr>
      <w:r>
        <w:t xml:space="preserve">The conventional risk premium approach that I use in my testimony relies on the historical relationship between two indices.  A value, which is unknown in a particular period, for one of the indices is forecasted using its historical relationship to the other index, where the value for that same period is known.  I discuss this approach in </w:t>
      </w:r>
      <w:r w:rsidRPr="000412F5">
        <w:t>Part D</w:t>
      </w:r>
      <w:r>
        <w:t xml:space="preserve"> of this section of my testimony.</w:t>
      </w:r>
    </w:p>
    <w:p w14:paraId="4A67845F" w14:textId="77777777" w:rsidR="00FD670E" w:rsidRPr="0088510E" w:rsidRDefault="00FD670E" w:rsidP="00FD670E">
      <w:pPr>
        <w:pStyle w:val="answer"/>
        <w:tabs>
          <w:tab w:val="clear" w:pos="-3420"/>
          <w:tab w:val="left" w:pos="720"/>
        </w:tabs>
        <w:spacing w:after="0" w:line="480" w:lineRule="atLeast"/>
        <w:ind w:right="0" w:firstLine="720"/>
      </w:pPr>
      <w:r>
        <w:t xml:space="preserve">Use of the DCF methods and risk-premium methods is well-established at this Commission, and these methods have been relied upon in rate-case decisions </w:t>
      </w:r>
      <w:r w:rsidRPr="00E51D48">
        <w:t>for at least the last three decades</w:t>
      </w:r>
      <w:r>
        <w:t>.</w:t>
      </w:r>
    </w:p>
    <w:p w14:paraId="095398D4" w14:textId="77777777" w:rsidR="00204A6E" w:rsidRDefault="00204A6E" w:rsidP="00FD670E">
      <w:pPr>
        <w:tabs>
          <w:tab w:val="left" w:pos="0"/>
        </w:tabs>
        <w:spacing w:line="240" w:lineRule="auto"/>
        <w:ind w:left="720" w:hanging="720"/>
        <w:jc w:val="both"/>
        <w:rPr>
          <w:szCs w:val="26"/>
        </w:rPr>
      </w:pPr>
    </w:p>
    <w:p w14:paraId="097D6FC4" w14:textId="7213450F" w:rsidR="002F59DF" w:rsidRPr="004079F2" w:rsidRDefault="00FD670E" w:rsidP="00FD670E">
      <w:pPr>
        <w:pStyle w:val="Heading2"/>
        <w:spacing w:line="480" w:lineRule="atLeast"/>
      </w:pPr>
      <w:bookmarkStart w:id="6" w:name="_Toc85035563"/>
      <w:r>
        <w:t>COMPARABLE COMPANY ANALYSIS</w:t>
      </w:r>
      <w:bookmarkEnd w:id="6"/>
    </w:p>
    <w:p w14:paraId="2C356AED" w14:textId="219A6002" w:rsidR="00BE3AD3" w:rsidRPr="004079F2" w:rsidRDefault="00BE3AD3" w:rsidP="00FD670E">
      <w:pPr>
        <w:tabs>
          <w:tab w:val="left" w:pos="0"/>
        </w:tabs>
        <w:spacing w:line="480" w:lineRule="atLeast"/>
        <w:ind w:left="720" w:hanging="720"/>
        <w:jc w:val="both"/>
        <w:rPr>
          <w:b/>
        </w:rPr>
      </w:pPr>
      <w:r w:rsidRPr="004079F2">
        <w:rPr>
          <w:b/>
        </w:rPr>
        <w:t>Q.</w:t>
      </w:r>
      <w:r w:rsidRPr="004079F2">
        <w:rPr>
          <w:b/>
        </w:rPr>
        <w:tab/>
        <w:t>W</w:t>
      </w:r>
      <w:r w:rsidR="00A23AEF" w:rsidRPr="004079F2">
        <w:rPr>
          <w:b/>
        </w:rPr>
        <w:t xml:space="preserve">hat </w:t>
      </w:r>
      <w:r w:rsidR="00FD670E">
        <w:rPr>
          <w:b/>
        </w:rPr>
        <w:t>is the purpose of a comparable company analysis</w:t>
      </w:r>
      <w:r w:rsidRPr="004079F2">
        <w:rPr>
          <w:b/>
        </w:rPr>
        <w:t>?</w:t>
      </w:r>
    </w:p>
    <w:p w14:paraId="60B415AE" w14:textId="0D5FB27D" w:rsidR="00E65ED3" w:rsidRDefault="00BE3AD3" w:rsidP="00204A6E">
      <w:pPr>
        <w:tabs>
          <w:tab w:val="left" w:pos="0"/>
        </w:tabs>
        <w:spacing w:line="480" w:lineRule="exact"/>
        <w:ind w:left="720" w:hanging="720"/>
        <w:jc w:val="both"/>
      </w:pPr>
      <w:r w:rsidRPr="004079F2">
        <w:t>A.</w:t>
      </w:r>
      <w:r w:rsidRPr="004079F2">
        <w:tab/>
      </w:r>
      <w:r w:rsidR="008204FB">
        <w:t>The objective of a comparable company analysis is to estimate the cost of equity for a target company by estimating the costs of equity for companies with similar risk characteristics</w:t>
      </w:r>
      <w:r w:rsidRPr="004079F2">
        <w:t>.</w:t>
      </w:r>
      <w:r w:rsidR="008204FB">
        <w:t xml:space="preserve">  Cash flows are subject to the influence of many factors, not all of which may be identified.  The use of multiple proxy companies in determining the target company’s cost of equity mitigates the influence of unknown factors by spreading them over the several companies in </w:t>
      </w:r>
      <w:r w:rsidR="008204FB">
        <w:lastRenderedPageBreak/>
        <w:t>the comparable company analysis.</w:t>
      </w:r>
      <w:r w:rsidRPr="004079F2">
        <w:t xml:space="preserve"> </w:t>
      </w:r>
    </w:p>
    <w:p w14:paraId="084A43CE" w14:textId="336912BB" w:rsidR="008F2C2F" w:rsidRDefault="008F2C2F" w:rsidP="00E932E7">
      <w:pPr>
        <w:tabs>
          <w:tab w:val="left" w:pos="0"/>
        </w:tabs>
        <w:spacing w:line="240" w:lineRule="auto"/>
        <w:ind w:left="720" w:hanging="720"/>
        <w:jc w:val="both"/>
      </w:pPr>
    </w:p>
    <w:p w14:paraId="610052D8" w14:textId="77777777" w:rsidR="00424A87" w:rsidRPr="004079F2" w:rsidRDefault="00424A87" w:rsidP="00E932E7">
      <w:pPr>
        <w:tabs>
          <w:tab w:val="left" w:pos="0"/>
        </w:tabs>
        <w:spacing w:line="240" w:lineRule="auto"/>
        <w:ind w:left="720" w:hanging="720"/>
        <w:jc w:val="both"/>
      </w:pPr>
    </w:p>
    <w:p w14:paraId="61E5CCD6" w14:textId="73E798E0" w:rsidR="00E87427" w:rsidRPr="004079F2" w:rsidRDefault="00E87427" w:rsidP="00204A6E">
      <w:pPr>
        <w:tabs>
          <w:tab w:val="left" w:pos="0"/>
        </w:tabs>
        <w:spacing w:line="480" w:lineRule="exact"/>
        <w:ind w:left="720" w:hanging="720"/>
        <w:jc w:val="both"/>
      </w:pPr>
      <w:r w:rsidRPr="004079F2">
        <w:rPr>
          <w:b/>
        </w:rPr>
        <w:t>Q.</w:t>
      </w:r>
      <w:r w:rsidRPr="004079F2">
        <w:rPr>
          <w:b/>
        </w:rPr>
        <w:tab/>
      </w:r>
      <w:r w:rsidR="008204FB">
        <w:rPr>
          <w:b/>
        </w:rPr>
        <w:t>Please describe the group of comparable companies you used to perform your cost of equity analysis.</w:t>
      </w:r>
    </w:p>
    <w:p w14:paraId="1F14BB8B" w14:textId="09401B63" w:rsidR="003503F5" w:rsidRDefault="00E87427" w:rsidP="00204A6E">
      <w:pPr>
        <w:tabs>
          <w:tab w:val="left" w:pos="0"/>
        </w:tabs>
        <w:spacing w:line="480" w:lineRule="exact"/>
        <w:ind w:left="720" w:hanging="720"/>
        <w:jc w:val="both"/>
      </w:pPr>
      <w:r w:rsidRPr="004079F2">
        <w:t>A.</w:t>
      </w:r>
      <w:r w:rsidRPr="004079F2">
        <w:tab/>
      </w:r>
      <w:r w:rsidR="008204FB">
        <w:t xml:space="preserve">I selected comparable companies for my analysis by starting with all the electric utility companies on which Value Line reports in its </w:t>
      </w:r>
      <w:r w:rsidR="008204FB">
        <w:rPr>
          <w:i/>
          <w:iCs/>
        </w:rPr>
        <w:t>Ratings and Reports</w:t>
      </w:r>
      <w:r w:rsidR="008204FB">
        <w:t xml:space="preserve"> publication and selecting those companies as much like EPE as possible without unreasonabl</w:t>
      </w:r>
      <w:r w:rsidR="00B2645A">
        <w:t>y</w:t>
      </w:r>
      <w:r w:rsidR="008204FB">
        <w:t xml:space="preserve"> restricting their number.  The more companies there are in the analysis, the more effects of an unexpected anomaly in one will be diluted by the rest; and, therefore, the better the comparison to the target company will be.  On the other hand, choosing less stringent criteria to increase the number of comparable companies may result in the selection of companies with characteristics unlike those of EPE.</w:t>
      </w:r>
    </w:p>
    <w:p w14:paraId="4A6F2E1D" w14:textId="7B54F499" w:rsidR="008204FB" w:rsidRDefault="008204FB" w:rsidP="008204FB">
      <w:pPr>
        <w:tabs>
          <w:tab w:val="left" w:pos="0"/>
        </w:tabs>
        <w:spacing w:line="240" w:lineRule="auto"/>
        <w:ind w:left="720" w:hanging="720"/>
        <w:jc w:val="both"/>
      </w:pPr>
    </w:p>
    <w:p w14:paraId="0538808E" w14:textId="741FC3AA" w:rsidR="008204FB" w:rsidRDefault="008204FB" w:rsidP="00204A6E">
      <w:pPr>
        <w:tabs>
          <w:tab w:val="left" w:pos="0"/>
        </w:tabs>
        <w:spacing w:line="480" w:lineRule="exact"/>
        <w:ind w:left="720" w:hanging="720"/>
        <w:jc w:val="both"/>
        <w:rPr>
          <w:b/>
          <w:bCs/>
        </w:rPr>
      </w:pPr>
      <w:r>
        <w:rPr>
          <w:b/>
          <w:bCs/>
        </w:rPr>
        <w:t>Q.</w:t>
      </w:r>
      <w:r>
        <w:rPr>
          <w:b/>
          <w:bCs/>
        </w:rPr>
        <w:tab/>
        <w:t>On what basis did you select your group of comparable companies?</w:t>
      </w:r>
    </w:p>
    <w:p w14:paraId="01A257DC" w14:textId="16B13338" w:rsidR="008204FB" w:rsidRDefault="008204FB" w:rsidP="00204A6E">
      <w:pPr>
        <w:tabs>
          <w:tab w:val="left" w:pos="0"/>
        </w:tabs>
        <w:spacing w:line="480" w:lineRule="exact"/>
        <w:ind w:left="720" w:hanging="720"/>
        <w:jc w:val="both"/>
      </w:pPr>
      <w:r>
        <w:t>A.</w:t>
      </w:r>
      <w:r>
        <w:tab/>
        <w:t>In selecting a group of companies that I think are appropriately comparable to EPE, I selected those electric utilities that:</w:t>
      </w:r>
    </w:p>
    <w:p w14:paraId="2706AA6F" w14:textId="73C37992" w:rsidR="008204FB" w:rsidRDefault="008204FB" w:rsidP="008204FB">
      <w:pPr>
        <w:pStyle w:val="ListParagraph"/>
        <w:numPr>
          <w:ilvl w:val="0"/>
          <w:numId w:val="47"/>
        </w:numPr>
        <w:tabs>
          <w:tab w:val="left" w:pos="0"/>
        </w:tabs>
        <w:spacing w:line="480" w:lineRule="exact"/>
        <w:ind w:left="1080"/>
        <w:jc w:val="both"/>
      </w:pPr>
      <w:r>
        <w:t>are followed by Value Line;</w:t>
      </w:r>
    </w:p>
    <w:p w14:paraId="775CA137" w14:textId="77777777" w:rsidR="008204FB" w:rsidRDefault="008204FB" w:rsidP="008204FB">
      <w:pPr>
        <w:pStyle w:val="ListParagraph"/>
        <w:numPr>
          <w:ilvl w:val="0"/>
          <w:numId w:val="47"/>
        </w:numPr>
        <w:tabs>
          <w:tab w:val="left" w:pos="0"/>
        </w:tabs>
        <w:spacing w:line="480" w:lineRule="exact"/>
        <w:ind w:left="1080"/>
        <w:jc w:val="both"/>
      </w:pPr>
      <w:r>
        <w:t>have a current capital structure with a long-term debt proportion between 40% and 60%;</w:t>
      </w:r>
    </w:p>
    <w:p w14:paraId="317C24F1" w14:textId="0BE9DDE7" w:rsidR="008204FB" w:rsidRDefault="008204FB" w:rsidP="008204FB">
      <w:pPr>
        <w:pStyle w:val="ListParagraph"/>
        <w:numPr>
          <w:ilvl w:val="0"/>
          <w:numId w:val="47"/>
        </w:numPr>
        <w:tabs>
          <w:tab w:val="left" w:pos="0"/>
        </w:tabs>
        <w:spacing w:line="480" w:lineRule="exact"/>
        <w:ind w:left="1080"/>
        <w:jc w:val="both"/>
      </w:pPr>
      <w:r>
        <w:t xml:space="preserve">have a positive (greater than 0%) long-term forecast of earnings growth rate from Value Line and, if Zacks provides an estimate for long-term earnings growth rate, have a positive (greater than 0%) long-term forecast of earnings growth rate from Zacks; </w:t>
      </w:r>
    </w:p>
    <w:p w14:paraId="25F29AEC" w14:textId="2EBF1811" w:rsidR="00CC1F30" w:rsidRDefault="00CC1F30" w:rsidP="008204FB">
      <w:pPr>
        <w:pStyle w:val="ListParagraph"/>
        <w:numPr>
          <w:ilvl w:val="0"/>
          <w:numId w:val="47"/>
        </w:numPr>
        <w:tabs>
          <w:tab w:val="left" w:pos="0"/>
        </w:tabs>
        <w:spacing w:line="480" w:lineRule="exact"/>
        <w:ind w:left="1080"/>
        <w:jc w:val="both"/>
      </w:pPr>
      <w:r>
        <w:t>are covered by S&amp;P; have an investment</w:t>
      </w:r>
      <w:r w:rsidR="00B327DE">
        <w:t>-</w:t>
      </w:r>
      <w:r>
        <w:t xml:space="preserve">grade credit rating; and, if the outlook is negative or if the utility has a negative credit watch, would not lose </w:t>
      </w:r>
      <w:r w:rsidR="00B327DE">
        <w:t xml:space="preserve">an </w:t>
      </w:r>
      <w:r>
        <w:t>investment</w:t>
      </w:r>
      <w:r w:rsidR="00B327DE">
        <w:t>-</w:t>
      </w:r>
      <w:r>
        <w:t>grade rating if downgraded on</w:t>
      </w:r>
      <w:r w:rsidR="00B327DE">
        <w:t>e</w:t>
      </w:r>
      <w:r>
        <w:t xml:space="preserve"> notch in credit rating</w:t>
      </w:r>
      <w:r w:rsidR="00B327DE">
        <w:t>;</w:t>
      </w:r>
    </w:p>
    <w:p w14:paraId="3CE3FB02" w14:textId="6EE22C1C" w:rsidR="00CC1F30" w:rsidRDefault="00CC1F30" w:rsidP="008204FB">
      <w:pPr>
        <w:pStyle w:val="ListParagraph"/>
        <w:numPr>
          <w:ilvl w:val="0"/>
          <w:numId w:val="47"/>
        </w:numPr>
        <w:tabs>
          <w:tab w:val="left" w:pos="0"/>
        </w:tabs>
        <w:spacing w:line="480" w:lineRule="exact"/>
        <w:ind w:left="1080"/>
        <w:jc w:val="both"/>
      </w:pPr>
      <w:r>
        <w:lastRenderedPageBreak/>
        <w:t>have not had recent and do not have planned or expected potential merger activities or other major capital expansion or construction, and have not had any major, recent extraordinary events that would affect overall financial condition;</w:t>
      </w:r>
    </w:p>
    <w:p w14:paraId="75C333EA" w14:textId="50D6D561" w:rsidR="00CC1F30" w:rsidRDefault="00CC1F30" w:rsidP="008204FB">
      <w:pPr>
        <w:pStyle w:val="ListParagraph"/>
        <w:numPr>
          <w:ilvl w:val="0"/>
          <w:numId w:val="47"/>
        </w:numPr>
        <w:tabs>
          <w:tab w:val="left" w:pos="0"/>
        </w:tabs>
        <w:spacing w:line="480" w:lineRule="exact"/>
        <w:ind w:left="1080"/>
        <w:jc w:val="both"/>
      </w:pPr>
      <w:r>
        <w:t>have not had recent dividend omissions or cuts; and</w:t>
      </w:r>
    </w:p>
    <w:p w14:paraId="5CC4BE28" w14:textId="7FE35CA5" w:rsidR="00CC1F30" w:rsidRPr="008204FB" w:rsidRDefault="00CC1F30" w:rsidP="008204FB">
      <w:pPr>
        <w:pStyle w:val="ListParagraph"/>
        <w:numPr>
          <w:ilvl w:val="0"/>
          <w:numId w:val="47"/>
        </w:numPr>
        <w:tabs>
          <w:tab w:val="left" w:pos="0"/>
        </w:tabs>
        <w:spacing w:line="480" w:lineRule="exact"/>
        <w:ind w:left="1080"/>
        <w:jc w:val="both"/>
      </w:pPr>
      <w:r>
        <w:t>are not otherwise considered inappropriate for being a proxy to target the cost of equity for EPE.</w:t>
      </w:r>
    </w:p>
    <w:p w14:paraId="5EC09E41" w14:textId="77777777" w:rsidR="00DF66B7" w:rsidRPr="004079F2" w:rsidRDefault="00DF66B7" w:rsidP="00E932E7">
      <w:pPr>
        <w:tabs>
          <w:tab w:val="left" w:pos="0"/>
        </w:tabs>
        <w:spacing w:line="240" w:lineRule="auto"/>
        <w:ind w:left="720" w:hanging="720"/>
        <w:jc w:val="both"/>
      </w:pPr>
    </w:p>
    <w:p w14:paraId="60903795" w14:textId="4C1CCF5B" w:rsidR="00BE3AD3" w:rsidRDefault="00E87427" w:rsidP="00204A6E">
      <w:pPr>
        <w:tabs>
          <w:tab w:val="left" w:pos="0"/>
        </w:tabs>
        <w:spacing w:line="480" w:lineRule="exact"/>
        <w:ind w:left="720" w:hanging="720"/>
        <w:jc w:val="both"/>
        <w:rPr>
          <w:b/>
        </w:rPr>
      </w:pPr>
      <w:r w:rsidRPr="004079F2">
        <w:rPr>
          <w:b/>
        </w:rPr>
        <w:t>Q.</w:t>
      </w:r>
      <w:r w:rsidRPr="004079F2">
        <w:rPr>
          <w:b/>
        </w:rPr>
        <w:tab/>
      </w:r>
      <w:r w:rsidR="00CC1F30">
        <w:rPr>
          <w:b/>
        </w:rPr>
        <w:t>Please list the companies that met the criteria.</w:t>
      </w:r>
    </w:p>
    <w:p w14:paraId="084BA855" w14:textId="0753076F" w:rsidR="00CC1F30" w:rsidRDefault="00CC1F30" w:rsidP="00204A6E">
      <w:pPr>
        <w:tabs>
          <w:tab w:val="left" w:pos="0"/>
        </w:tabs>
        <w:spacing w:line="480" w:lineRule="exact"/>
        <w:ind w:left="720" w:hanging="720"/>
        <w:jc w:val="both"/>
        <w:rPr>
          <w:bCs/>
        </w:rPr>
      </w:pPr>
      <w:r>
        <w:rPr>
          <w:bCs/>
        </w:rPr>
        <w:t>A.</w:t>
      </w:r>
      <w:r>
        <w:rPr>
          <w:bCs/>
        </w:rPr>
        <w:tab/>
        <w:t>Listed below are the companies that met the criteria:</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4590"/>
      </w:tblGrid>
      <w:tr w:rsidR="00CC1F30" w14:paraId="566017E1" w14:textId="77777777" w:rsidTr="00F16687">
        <w:trPr>
          <w:jc w:val="center"/>
        </w:trPr>
        <w:tc>
          <w:tcPr>
            <w:tcW w:w="1890" w:type="dxa"/>
          </w:tcPr>
          <w:p w14:paraId="654137EC" w14:textId="0542CE5D" w:rsidR="00CC1F30" w:rsidRPr="00CC1F30" w:rsidRDefault="00CC1F30" w:rsidP="00CC1F30">
            <w:pPr>
              <w:tabs>
                <w:tab w:val="left" w:pos="0"/>
              </w:tabs>
              <w:spacing w:line="480" w:lineRule="exact"/>
              <w:jc w:val="both"/>
              <w:rPr>
                <w:b/>
                <w:u w:val="single"/>
              </w:rPr>
            </w:pPr>
            <w:r w:rsidRPr="00CC1F30">
              <w:rPr>
                <w:b/>
                <w:u w:val="single"/>
              </w:rPr>
              <w:t>Ticke</w:t>
            </w:r>
            <w:r>
              <w:rPr>
                <w:b/>
                <w:u w:val="single"/>
              </w:rPr>
              <w:t>r</w:t>
            </w:r>
            <w:r w:rsidRPr="00CC1F30">
              <w:rPr>
                <w:b/>
                <w:u w:val="single"/>
              </w:rPr>
              <w:t xml:space="preserve"> Symbol</w:t>
            </w:r>
          </w:p>
        </w:tc>
        <w:tc>
          <w:tcPr>
            <w:tcW w:w="4590" w:type="dxa"/>
          </w:tcPr>
          <w:p w14:paraId="120B4B9A" w14:textId="6A46BB95" w:rsidR="00CC1F30" w:rsidRPr="00CC1F30" w:rsidRDefault="00CC1F30" w:rsidP="00CC1F30">
            <w:pPr>
              <w:tabs>
                <w:tab w:val="left" w:pos="0"/>
              </w:tabs>
              <w:spacing w:line="480" w:lineRule="exact"/>
              <w:jc w:val="both"/>
              <w:rPr>
                <w:b/>
                <w:u w:val="single"/>
              </w:rPr>
            </w:pPr>
            <w:r>
              <w:rPr>
                <w:b/>
                <w:u w:val="single"/>
              </w:rPr>
              <w:t>Company Name</w:t>
            </w:r>
          </w:p>
        </w:tc>
      </w:tr>
      <w:tr w:rsidR="00CC1F30" w14:paraId="668ABAF4" w14:textId="77777777" w:rsidTr="00F16687">
        <w:trPr>
          <w:jc w:val="center"/>
        </w:trPr>
        <w:tc>
          <w:tcPr>
            <w:tcW w:w="1890" w:type="dxa"/>
          </w:tcPr>
          <w:p w14:paraId="3F80F0C6" w14:textId="01335D08" w:rsidR="00CC1F30" w:rsidRDefault="00CC1F30" w:rsidP="00CC1F30">
            <w:pPr>
              <w:tabs>
                <w:tab w:val="left" w:pos="0"/>
              </w:tabs>
              <w:spacing w:line="480" w:lineRule="exact"/>
              <w:jc w:val="both"/>
              <w:rPr>
                <w:bCs/>
              </w:rPr>
            </w:pPr>
            <w:r>
              <w:rPr>
                <w:bCs/>
              </w:rPr>
              <w:t>ALE</w:t>
            </w:r>
          </w:p>
        </w:tc>
        <w:tc>
          <w:tcPr>
            <w:tcW w:w="4590" w:type="dxa"/>
          </w:tcPr>
          <w:p w14:paraId="50A1B432" w14:textId="1E18B333" w:rsidR="00CC1F30" w:rsidRDefault="00CC1F30" w:rsidP="00CC1F30">
            <w:pPr>
              <w:tabs>
                <w:tab w:val="left" w:pos="0"/>
              </w:tabs>
              <w:spacing w:line="480" w:lineRule="exact"/>
              <w:jc w:val="both"/>
              <w:rPr>
                <w:bCs/>
              </w:rPr>
            </w:pPr>
            <w:r>
              <w:rPr>
                <w:bCs/>
              </w:rPr>
              <w:t>ALLETE, In</w:t>
            </w:r>
            <w:r w:rsidR="00FB201D">
              <w:rPr>
                <w:bCs/>
              </w:rPr>
              <w:t>c.</w:t>
            </w:r>
          </w:p>
        </w:tc>
      </w:tr>
      <w:tr w:rsidR="00CC1F30" w14:paraId="0C6A4CDC" w14:textId="77777777" w:rsidTr="00F16687">
        <w:trPr>
          <w:jc w:val="center"/>
        </w:trPr>
        <w:tc>
          <w:tcPr>
            <w:tcW w:w="1890" w:type="dxa"/>
          </w:tcPr>
          <w:p w14:paraId="733305D8" w14:textId="6DC57945" w:rsidR="00CC1F30" w:rsidRDefault="00CC1F30" w:rsidP="00CC1F30">
            <w:pPr>
              <w:tabs>
                <w:tab w:val="left" w:pos="0"/>
              </w:tabs>
              <w:spacing w:line="480" w:lineRule="exact"/>
              <w:jc w:val="both"/>
              <w:rPr>
                <w:bCs/>
              </w:rPr>
            </w:pPr>
            <w:r>
              <w:rPr>
                <w:bCs/>
              </w:rPr>
              <w:t>LNT</w:t>
            </w:r>
          </w:p>
        </w:tc>
        <w:tc>
          <w:tcPr>
            <w:tcW w:w="4590" w:type="dxa"/>
          </w:tcPr>
          <w:p w14:paraId="07741C32" w14:textId="3DACA603" w:rsidR="00CC1F30" w:rsidRDefault="00CC1F30" w:rsidP="00CC1F30">
            <w:pPr>
              <w:tabs>
                <w:tab w:val="left" w:pos="0"/>
              </w:tabs>
              <w:spacing w:line="480" w:lineRule="exact"/>
              <w:jc w:val="both"/>
              <w:rPr>
                <w:bCs/>
              </w:rPr>
            </w:pPr>
            <w:r>
              <w:rPr>
                <w:bCs/>
              </w:rPr>
              <w:t>Alliant Energy Corporation</w:t>
            </w:r>
          </w:p>
        </w:tc>
      </w:tr>
      <w:tr w:rsidR="00CC1F30" w14:paraId="28CF0263" w14:textId="77777777" w:rsidTr="00F16687">
        <w:trPr>
          <w:jc w:val="center"/>
        </w:trPr>
        <w:tc>
          <w:tcPr>
            <w:tcW w:w="1890" w:type="dxa"/>
          </w:tcPr>
          <w:p w14:paraId="65134B38" w14:textId="0C753A70" w:rsidR="00CC1F30" w:rsidRDefault="00CC1F30" w:rsidP="00CC1F30">
            <w:pPr>
              <w:tabs>
                <w:tab w:val="left" w:pos="0"/>
              </w:tabs>
              <w:spacing w:line="480" w:lineRule="exact"/>
              <w:jc w:val="both"/>
              <w:rPr>
                <w:bCs/>
              </w:rPr>
            </w:pPr>
            <w:r>
              <w:rPr>
                <w:bCs/>
              </w:rPr>
              <w:t>AEE</w:t>
            </w:r>
          </w:p>
        </w:tc>
        <w:tc>
          <w:tcPr>
            <w:tcW w:w="4590" w:type="dxa"/>
          </w:tcPr>
          <w:p w14:paraId="30397F22" w14:textId="0ADDDF62" w:rsidR="00CC1F30" w:rsidRDefault="00CC1F30" w:rsidP="00CC1F30">
            <w:pPr>
              <w:tabs>
                <w:tab w:val="left" w:pos="0"/>
              </w:tabs>
              <w:spacing w:line="480" w:lineRule="exact"/>
              <w:jc w:val="both"/>
              <w:rPr>
                <w:bCs/>
              </w:rPr>
            </w:pPr>
            <w:r>
              <w:rPr>
                <w:bCs/>
              </w:rPr>
              <w:t>Ameren Corporation</w:t>
            </w:r>
          </w:p>
        </w:tc>
      </w:tr>
      <w:tr w:rsidR="00CC1F30" w14:paraId="72574AA9" w14:textId="77777777" w:rsidTr="00F16687">
        <w:trPr>
          <w:jc w:val="center"/>
        </w:trPr>
        <w:tc>
          <w:tcPr>
            <w:tcW w:w="1890" w:type="dxa"/>
          </w:tcPr>
          <w:p w14:paraId="289B4AEF" w14:textId="79109833" w:rsidR="00CC1F30" w:rsidRDefault="00CC1F30" w:rsidP="00CC1F30">
            <w:pPr>
              <w:tabs>
                <w:tab w:val="left" w:pos="0"/>
              </w:tabs>
              <w:spacing w:line="480" w:lineRule="exact"/>
              <w:jc w:val="both"/>
              <w:rPr>
                <w:bCs/>
              </w:rPr>
            </w:pPr>
            <w:r>
              <w:rPr>
                <w:bCs/>
              </w:rPr>
              <w:t>AVA</w:t>
            </w:r>
          </w:p>
        </w:tc>
        <w:tc>
          <w:tcPr>
            <w:tcW w:w="4590" w:type="dxa"/>
          </w:tcPr>
          <w:p w14:paraId="68968ACA" w14:textId="2D7C2398" w:rsidR="00CC1F30" w:rsidRDefault="00CC1F30" w:rsidP="00CC1F30">
            <w:pPr>
              <w:tabs>
                <w:tab w:val="left" w:pos="0"/>
              </w:tabs>
              <w:spacing w:line="480" w:lineRule="exact"/>
              <w:jc w:val="both"/>
              <w:rPr>
                <w:bCs/>
              </w:rPr>
            </w:pPr>
            <w:proofErr w:type="spellStart"/>
            <w:r>
              <w:rPr>
                <w:bCs/>
              </w:rPr>
              <w:t>Avista</w:t>
            </w:r>
            <w:proofErr w:type="spellEnd"/>
            <w:r>
              <w:rPr>
                <w:bCs/>
              </w:rPr>
              <w:t xml:space="preserve"> Corporation</w:t>
            </w:r>
          </w:p>
        </w:tc>
      </w:tr>
      <w:tr w:rsidR="00CC1F30" w14:paraId="4A608343" w14:textId="77777777" w:rsidTr="00F16687">
        <w:trPr>
          <w:jc w:val="center"/>
        </w:trPr>
        <w:tc>
          <w:tcPr>
            <w:tcW w:w="1890" w:type="dxa"/>
          </w:tcPr>
          <w:p w14:paraId="19D82916" w14:textId="6186F400" w:rsidR="00CC1F30" w:rsidRDefault="00CC1F30" w:rsidP="00CC1F30">
            <w:pPr>
              <w:tabs>
                <w:tab w:val="left" w:pos="0"/>
              </w:tabs>
              <w:spacing w:line="480" w:lineRule="exact"/>
              <w:jc w:val="both"/>
              <w:rPr>
                <w:bCs/>
              </w:rPr>
            </w:pPr>
            <w:r>
              <w:rPr>
                <w:bCs/>
              </w:rPr>
              <w:t>BKH</w:t>
            </w:r>
          </w:p>
        </w:tc>
        <w:tc>
          <w:tcPr>
            <w:tcW w:w="4590" w:type="dxa"/>
          </w:tcPr>
          <w:p w14:paraId="14ACF5DB" w14:textId="7FB2E5E2" w:rsidR="00CC1F30" w:rsidRDefault="00CC1F30" w:rsidP="00CC1F30">
            <w:pPr>
              <w:tabs>
                <w:tab w:val="left" w:pos="0"/>
              </w:tabs>
              <w:spacing w:line="480" w:lineRule="exact"/>
              <w:jc w:val="both"/>
              <w:rPr>
                <w:bCs/>
              </w:rPr>
            </w:pPr>
            <w:r>
              <w:rPr>
                <w:bCs/>
              </w:rPr>
              <w:t>Black Hills Corporation</w:t>
            </w:r>
          </w:p>
        </w:tc>
      </w:tr>
      <w:tr w:rsidR="00CC1F30" w14:paraId="1E2A4A47" w14:textId="77777777" w:rsidTr="00F16687">
        <w:trPr>
          <w:jc w:val="center"/>
        </w:trPr>
        <w:tc>
          <w:tcPr>
            <w:tcW w:w="1890" w:type="dxa"/>
          </w:tcPr>
          <w:p w14:paraId="73987DB9" w14:textId="1F584615" w:rsidR="00CC1F30" w:rsidRDefault="00CC1F30" w:rsidP="00CC1F30">
            <w:pPr>
              <w:tabs>
                <w:tab w:val="left" w:pos="0"/>
              </w:tabs>
              <w:spacing w:line="480" w:lineRule="exact"/>
              <w:jc w:val="both"/>
              <w:rPr>
                <w:bCs/>
              </w:rPr>
            </w:pPr>
            <w:r>
              <w:rPr>
                <w:bCs/>
              </w:rPr>
              <w:t>ED</w:t>
            </w:r>
          </w:p>
        </w:tc>
        <w:tc>
          <w:tcPr>
            <w:tcW w:w="4590" w:type="dxa"/>
          </w:tcPr>
          <w:p w14:paraId="3C1C20FC" w14:textId="6809B196" w:rsidR="00CC1F30" w:rsidRDefault="00CC1F30" w:rsidP="00CC1F30">
            <w:pPr>
              <w:tabs>
                <w:tab w:val="left" w:pos="0"/>
              </w:tabs>
              <w:spacing w:line="480" w:lineRule="exact"/>
              <w:jc w:val="both"/>
              <w:rPr>
                <w:bCs/>
              </w:rPr>
            </w:pPr>
            <w:r>
              <w:rPr>
                <w:bCs/>
              </w:rPr>
              <w:t>Consolidated Edison, Inc</w:t>
            </w:r>
            <w:r w:rsidR="00FB201D">
              <w:rPr>
                <w:bCs/>
              </w:rPr>
              <w:t>.</w:t>
            </w:r>
          </w:p>
        </w:tc>
      </w:tr>
      <w:tr w:rsidR="00CC1F30" w14:paraId="60D4A968" w14:textId="77777777" w:rsidTr="00F16687">
        <w:trPr>
          <w:jc w:val="center"/>
        </w:trPr>
        <w:tc>
          <w:tcPr>
            <w:tcW w:w="1890" w:type="dxa"/>
          </w:tcPr>
          <w:p w14:paraId="57703A64" w14:textId="6E1233AF" w:rsidR="00CC1F30" w:rsidRDefault="00CC1F30" w:rsidP="00CC1F30">
            <w:pPr>
              <w:tabs>
                <w:tab w:val="left" w:pos="0"/>
              </w:tabs>
              <w:spacing w:line="480" w:lineRule="exact"/>
              <w:jc w:val="both"/>
              <w:rPr>
                <w:bCs/>
              </w:rPr>
            </w:pPr>
            <w:r>
              <w:rPr>
                <w:bCs/>
              </w:rPr>
              <w:t>EVRG</w:t>
            </w:r>
          </w:p>
        </w:tc>
        <w:tc>
          <w:tcPr>
            <w:tcW w:w="4590" w:type="dxa"/>
          </w:tcPr>
          <w:p w14:paraId="077CFBCD" w14:textId="6C30B272" w:rsidR="00CC1F30" w:rsidRDefault="00CC1F30" w:rsidP="00CC1F30">
            <w:pPr>
              <w:tabs>
                <w:tab w:val="left" w:pos="0"/>
              </w:tabs>
              <w:spacing w:line="480" w:lineRule="exact"/>
              <w:jc w:val="both"/>
              <w:rPr>
                <w:bCs/>
              </w:rPr>
            </w:pPr>
            <w:proofErr w:type="spellStart"/>
            <w:r>
              <w:rPr>
                <w:bCs/>
              </w:rPr>
              <w:t>Evergy</w:t>
            </w:r>
            <w:proofErr w:type="spellEnd"/>
            <w:r>
              <w:rPr>
                <w:bCs/>
              </w:rPr>
              <w:t>, Inc</w:t>
            </w:r>
            <w:r w:rsidR="00FB201D">
              <w:rPr>
                <w:bCs/>
              </w:rPr>
              <w:t>.</w:t>
            </w:r>
          </w:p>
        </w:tc>
      </w:tr>
      <w:tr w:rsidR="00CC1F30" w14:paraId="30E75778" w14:textId="77777777" w:rsidTr="00F16687">
        <w:trPr>
          <w:jc w:val="center"/>
        </w:trPr>
        <w:tc>
          <w:tcPr>
            <w:tcW w:w="1890" w:type="dxa"/>
          </w:tcPr>
          <w:p w14:paraId="6CFA92EE" w14:textId="521DCC6A" w:rsidR="00CC1F30" w:rsidRDefault="00CC1F30" w:rsidP="00CC1F30">
            <w:pPr>
              <w:tabs>
                <w:tab w:val="left" w:pos="0"/>
              </w:tabs>
              <w:spacing w:line="480" w:lineRule="exact"/>
              <w:jc w:val="both"/>
              <w:rPr>
                <w:bCs/>
              </w:rPr>
            </w:pPr>
            <w:r>
              <w:rPr>
                <w:bCs/>
              </w:rPr>
              <w:t>ES</w:t>
            </w:r>
          </w:p>
        </w:tc>
        <w:tc>
          <w:tcPr>
            <w:tcW w:w="4590" w:type="dxa"/>
          </w:tcPr>
          <w:p w14:paraId="63E3B017" w14:textId="71990867" w:rsidR="00CC1F30" w:rsidRDefault="00CC1F30" w:rsidP="00CC1F30">
            <w:pPr>
              <w:tabs>
                <w:tab w:val="left" w:pos="0"/>
              </w:tabs>
              <w:spacing w:line="480" w:lineRule="exact"/>
              <w:jc w:val="both"/>
              <w:rPr>
                <w:bCs/>
              </w:rPr>
            </w:pPr>
            <w:r>
              <w:rPr>
                <w:bCs/>
              </w:rPr>
              <w:t>Eversource Energy</w:t>
            </w:r>
          </w:p>
        </w:tc>
      </w:tr>
      <w:tr w:rsidR="00CC1F30" w14:paraId="3470D1AF" w14:textId="77777777" w:rsidTr="00F16687">
        <w:trPr>
          <w:jc w:val="center"/>
        </w:trPr>
        <w:tc>
          <w:tcPr>
            <w:tcW w:w="1890" w:type="dxa"/>
          </w:tcPr>
          <w:p w14:paraId="4CC2C430" w14:textId="4F26501A" w:rsidR="00CC1F30" w:rsidRDefault="00CC1F30" w:rsidP="00CC1F30">
            <w:pPr>
              <w:tabs>
                <w:tab w:val="left" w:pos="0"/>
              </w:tabs>
              <w:spacing w:line="480" w:lineRule="exact"/>
              <w:jc w:val="both"/>
              <w:rPr>
                <w:bCs/>
              </w:rPr>
            </w:pPr>
            <w:r>
              <w:rPr>
                <w:bCs/>
              </w:rPr>
              <w:t>FTS</w:t>
            </w:r>
          </w:p>
        </w:tc>
        <w:tc>
          <w:tcPr>
            <w:tcW w:w="4590" w:type="dxa"/>
          </w:tcPr>
          <w:p w14:paraId="66ED30AA" w14:textId="2CEE17F0" w:rsidR="00CC1F30" w:rsidRDefault="00CC1F30" w:rsidP="00CC1F30">
            <w:pPr>
              <w:tabs>
                <w:tab w:val="left" w:pos="0"/>
              </w:tabs>
              <w:spacing w:line="480" w:lineRule="exact"/>
              <w:jc w:val="both"/>
              <w:rPr>
                <w:bCs/>
              </w:rPr>
            </w:pPr>
            <w:r>
              <w:rPr>
                <w:bCs/>
              </w:rPr>
              <w:t xml:space="preserve">Fortis, </w:t>
            </w:r>
            <w:r w:rsidR="00FB201D">
              <w:rPr>
                <w:bCs/>
              </w:rPr>
              <w:t>Inc.</w:t>
            </w:r>
          </w:p>
        </w:tc>
      </w:tr>
      <w:tr w:rsidR="00CC1F30" w14:paraId="44DA84A8" w14:textId="77777777" w:rsidTr="00F16687">
        <w:trPr>
          <w:jc w:val="center"/>
        </w:trPr>
        <w:tc>
          <w:tcPr>
            <w:tcW w:w="1890" w:type="dxa"/>
          </w:tcPr>
          <w:p w14:paraId="670DFB82" w14:textId="5A4A88A8" w:rsidR="00CC1F30" w:rsidRDefault="00CC1F30" w:rsidP="00CC1F30">
            <w:pPr>
              <w:tabs>
                <w:tab w:val="left" w:pos="0"/>
              </w:tabs>
              <w:spacing w:line="480" w:lineRule="exact"/>
              <w:jc w:val="both"/>
              <w:rPr>
                <w:bCs/>
              </w:rPr>
            </w:pPr>
            <w:r>
              <w:rPr>
                <w:bCs/>
              </w:rPr>
              <w:t>HE</w:t>
            </w:r>
          </w:p>
        </w:tc>
        <w:tc>
          <w:tcPr>
            <w:tcW w:w="4590" w:type="dxa"/>
          </w:tcPr>
          <w:p w14:paraId="1E768BB6" w14:textId="539FE595" w:rsidR="00CC1F30" w:rsidRDefault="00CC1F30" w:rsidP="00CC1F30">
            <w:pPr>
              <w:tabs>
                <w:tab w:val="left" w:pos="0"/>
              </w:tabs>
              <w:spacing w:line="480" w:lineRule="exact"/>
              <w:jc w:val="both"/>
              <w:rPr>
                <w:bCs/>
              </w:rPr>
            </w:pPr>
            <w:r>
              <w:rPr>
                <w:bCs/>
              </w:rPr>
              <w:t>Hawaiian Electric Industries, Inc</w:t>
            </w:r>
            <w:r w:rsidR="00FB201D">
              <w:rPr>
                <w:bCs/>
              </w:rPr>
              <w:t>.</w:t>
            </w:r>
          </w:p>
        </w:tc>
      </w:tr>
      <w:tr w:rsidR="00CC1F30" w14:paraId="2C4943BD" w14:textId="77777777" w:rsidTr="00F16687">
        <w:trPr>
          <w:jc w:val="center"/>
        </w:trPr>
        <w:tc>
          <w:tcPr>
            <w:tcW w:w="1890" w:type="dxa"/>
          </w:tcPr>
          <w:p w14:paraId="0AAFECDF" w14:textId="23873643" w:rsidR="00CC1F30" w:rsidRDefault="00CC1F30" w:rsidP="00CC1F30">
            <w:pPr>
              <w:tabs>
                <w:tab w:val="left" w:pos="0"/>
              </w:tabs>
              <w:spacing w:line="480" w:lineRule="exact"/>
              <w:jc w:val="both"/>
              <w:rPr>
                <w:bCs/>
              </w:rPr>
            </w:pPr>
            <w:r>
              <w:rPr>
                <w:bCs/>
              </w:rPr>
              <w:t>IDA</w:t>
            </w:r>
          </w:p>
        </w:tc>
        <w:tc>
          <w:tcPr>
            <w:tcW w:w="4590" w:type="dxa"/>
          </w:tcPr>
          <w:p w14:paraId="1A1ED7CB" w14:textId="20255510" w:rsidR="00CC1F30" w:rsidRDefault="00CC1F30" w:rsidP="00CC1F30">
            <w:pPr>
              <w:tabs>
                <w:tab w:val="left" w:pos="0"/>
              </w:tabs>
              <w:spacing w:line="480" w:lineRule="exact"/>
              <w:jc w:val="both"/>
              <w:rPr>
                <w:bCs/>
              </w:rPr>
            </w:pPr>
            <w:r>
              <w:rPr>
                <w:bCs/>
              </w:rPr>
              <w:t>IDACORP, Inc</w:t>
            </w:r>
            <w:r w:rsidR="00FB201D">
              <w:rPr>
                <w:bCs/>
              </w:rPr>
              <w:t>.</w:t>
            </w:r>
          </w:p>
        </w:tc>
      </w:tr>
      <w:tr w:rsidR="00CC1F30" w14:paraId="3022AA61" w14:textId="77777777" w:rsidTr="00F16687">
        <w:trPr>
          <w:jc w:val="center"/>
        </w:trPr>
        <w:tc>
          <w:tcPr>
            <w:tcW w:w="1890" w:type="dxa"/>
          </w:tcPr>
          <w:p w14:paraId="27ED1872" w14:textId="5F284B78" w:rsidR="00CC1F30" w:rsidRDefault="00CC1F30" w:rsidP="00CC1F30">
            <w:pPr>
              <w:tabs>
                <w:tab w:val="left" w:pos="0"/>
              </w:tabs>
              <w:spacing w:line="480" w:lineRule="exact"/>
              <w:jc w:val="both"/>
              <w:rPr>
                <w:bCs/>
              </w:rPr>
            </w:pPr>
            <w:r>
              <w:rPr>
                <w:bCs/>
              </w:rPr>
              <w:t>NEE</w:t>
            </w:r>
          </w:p>
        </w:tc>
        <w:tc>
          <w:tcPr>
            <w:tcW w:w="4590" w:type="dxa"/>
          </w:tcPr>
          <w:p w14:paraId="4DCF98B8" w14:textId="7A6E771A" w:rsidR="00CC1F30" w:rsidRDefault="00CC1F30" w:rsidP="00CC1F30">
            <w:pPr>
              <w:tabs>
                <w:tab w:val="left" w:pos="0"/>
              </w:tabs>
              <w:spacing w:line="480" w:lineRule="exact"/>
              <w:jc w:val="both"/>
              <w:rPr>
                <w:bCs/>
              </w:rPr>
            </w:pPr>
            <w:r>
              <w:rPr>
                <w:bCs/>
              </w:rPr>
              <w:t>NextEra Energy, Inc</w:t>
            </w:r>
            <w:r w:rsidR="00FB201D">
              <w:rPr>
                <w:bCs/>
              </w:rPr>
              <w:t>.</w:t>
            </w:r>
          </w:p>
        </w:tc>
      </w:tr>
      <w:tr w:rsidR="00CC1F30" w14:paraId="269BB772" w14:textId="77777777" w:rsidTr="00F16687">
        <w:trPr>
          <w:jc w:val="center"/>
        </w:trPr>
        <w:tc>
          <w:tcPr>
            <w:tcW w:w="1890" w:type="dxa"/>
          </w:tcPr>
          <w:p w14:paraId="017CF427" w14:textId="1871F786" w:rsidR="00CC1F30" w:rsidRDefault="00CC1F30" w:rsidP="00CC1F30">
            <w:pPr>
              <w:tabs>
                <w:tab w:val="left" w:pos="0"/>
              </w:tabs>
              <w:spacing w:line="480" w:lineRule="exact"/>
              <w:jc w:val="both"/>
              <w:rPr>
                <w:bCs/>
              </w:rPr>
            </w:pPr>
            <w:r>
              <w:rPr>
                <w:bCs/>
              </w:rPr>
              <w:t>NWE</w:t>
            </w:r>
          </w:p>
        </w:tc>
        <w:tc>
          <w:tcPr>
            <w:tcW w:w="4590" w:type="dxa"/>
          </w:tcPr>
          <w:p w14:paraId="31AF2142" w14:textId="614B4C3D" w:rsidR="00CC1F30" w:rsidRDefault="00CC1F30" w:rsidP="00CC1F30">
            <w:pPr>
              <w:tabs>
                <w:tab w:val="left" w:pos="0"/>
              </w:tabs>
              <w:spacing w:line="480" w:lineRule="exact"/>
              <w:jc w:val="both"/>
              <w:rPr>
                <w:bCs/>
              </w:rPr>
            </w:pPr>
            <w:proofErr w:type="spellStart"/>
            <w:r>
              <w:rPr>
                <w:bCs/>
              </w:rPr>
              <w:t>NorthWestern</w:t>
            </w:r>
            <w:proofErr w:type="spellEnd"/>
            <w:r>
              <w:rPr>
                <w:bCs/>
              </w:rPr>
              <w:t xml:space="preserve"> Corporation</w:t>
            </w:r>
          </w:p>
        </w:tc>
      </w:tr>
      <w:tr w:rsidR="00CC1F30" w14:paraId="501897FE" w14:textId="77777777" w:rsidTr="00F16687">
        <w:trPr>
          <w:jc w:val="center"/>
        </w:trPr>
        <w:tc>
          <w:tcPr>
            <w:tcW w:w="1890" w:type="dxa"/>
          </w:tcPr>
          <w:p w14:paraId="42F4075A" w14:textId="1CCF8FEE" w:rsidR="00CC1F30" w:rsidRDefault="00F16687" w:rsidP="00CC1F30">
            <w:pPr>
              <w:tabs>
                <w:tab w:val="left" w:pos="0"/>
              </w:tabs>
              <w:spacing w:line="480" w:lineRule="exact"/>
              <w:jc w:val="both"/>
              <w:rPr>
                <w:bCs/>
              </w:rPr>
            </w:pPr>
            <w:r>
              <w:rPr>
                <w:bCs/>
              </w:rPr>
              <w:t>OTTR</w:t>
            </w:r>
          </w:p>
        </w:tc>
        <w:tc>
          <w:tcPr>
            <w:tcW w:w="4590" w:type="dxa"/>
          </w:tcPr>
          <w:p w14:paraId="26CAE0A3" w14:textId="70E4C119" w:rsidR="00CC1F30" w:rsidRDefault="00F16687" w:rsidP="00CC1F30">
            <w:pPr>
              <w:tabs>
                <w:tab w:val="left" w:pos="0"/>
              </w:tabs>
              <w:spacing w:line="480" w:lineRule="exact"/>
              <w:jc w:val="both"/>
              <w:rPr>
                <w:bCs/>
              </w:rPr>
            </w:pPr>
            <w:r>
              <w:rPr>
                <w:bCs/>
              </w:rPr>
              <w:t>Otter Tail Corporation</w:t>
            </w:r>
          </w:p>
        </w:tc>
      </w:tr>
      <w:tr w:rsidR="00F16687" w14:paraId="424360D4" w14:textId="77777777" w:rsidTr="00F16687">
        <w:trPr>
          <w:jc w:val="center"/>
        </w:trPr>
        <w:tc>
          <w:tcPr>
            <w:tcW w:w="1890" w:type="dxa"/>
          </w:tcPr>
          <w:p w14:paraId="3C811862" w14:textId="5D572C8D" w:rsidR="00F16687" w:rsidRDefault="00F16687" w:rsidP="00CC1F30">
            <w:pPr>
              <w:tabs>
                <w:tab w:val="left" w:pos="0"/>
              </w:tabs>
              <w:spacing w:line="480" w:lineRule="exact"/>
              <w:jc w:val="both"/>
              <w:rPr>
                <w:bCs/>
              </w:rPr>
            </w:pPr>
            <w:r>
              <w:rPr>
                <w:bCs/>
              </w:rPr>
              <w:t>PNW</w:t>
            </w:r>
          </w:p>
        </w:tc>
        <w:tc>
          <w:tcPr>
            <w:tcW w:w="4590" w:type="dxa"/>
          </w:tcPr>
          <w:p w14:paraId="3F913FA5" w14:textId="151385AA" w:rsidR="00F16687" w:rsidRDefault="00F16687" w:rsidP="00CC1F30">
            <w:pPr>
              <w:tabs>
                <w:tab w:val="left" w:pos="0"/>
              </w:tabs>
              <w:spacing w:line="480" w:lineRule="exact"/>
              <w:jc w:val="both"/>
              <w:rPr>
                <w:bCs/>
              </w:rPr>
            </w:pPr>
            <w:r>
              <w:rPr>
                <w:bCs/>
              </w:rPr>
              <w:t>Pinnacle West Capital Corporation</w:t>
            </w:r>
          </w:p>
        </w:tc>
      </w:tr>
      <w:tr w:rsidR="00F16687" w14:paraId="3C63DF4C" w14:textId="77777777" w:rsidTr="00F16687">
        <w:trPr>
          <w:jc w:val="center"/>
        </w:trPr>
        <w:tc>
          <w:tcPr>
            <w:tcW w:w="1890" w:type="dxa"/>
          </w:tcPr>
          <w:p w14:paraId="25861D0D" w14:textId="0A709BBA" w:rsidR="00F16687" w:rsidRDefault="00F16687" w:rsidP="00CC1F30">
            <w:pPr>
              <w:tabs>
                <w:tab w:val="left" w:pos="0"/>
              </w:tabs>
              <w:spacing w:line="480" w:lineRule="exact"/>
              <w:jc w:val="both"/>
              <w:rPr>
                <w:bCs/>
              </w:rPr>
            </w:pPr>
            <w:r>
              <w:rPr>
                <w:bCs/>
              </w:rPr>
              <w:lastRenderedPageBreak/>
              <w:t>POR</w:t>
            </w:r>
          </w:p>
        </w:tc>
        <w:tc>
          <w:tcPr>
            <w:tcW w:w="4590" w:type="dxa"/>
          </w:tcPr>
          <w:p w14:paraId="2515477A" w14:textId="23C6E176" w:rsidR="00F16687" w:rsidRDefault="00F16687" w:rsidP="00CC1F30">
            <w:pPr>
              <w:tabs>
                <w:tab w:val="left" w:pos="0"/>
              </w:tabs>
              <w:spacing w:line="480" w:lineRule="exact"/>
              <w:jc w:val="both"/>
              <w:rPr>
                <w:bCs/>
              </w:rPr>
            </w:pPr>
            <w:r>
              <w:rPr>
                <w:bCs/>
              </w:rPr>
              <w:t>Portland General</w:t>
            </w:r>
          </w:p>
        </w:tc>
      </w:tr>
      <w:tr w:rsidR="00F16687" w14:paraId="4C3C2484" w14:textId="77777777" w:rsidTr="00F16687">
        <w:trPr>
          <w:jc w:val="center"/>
        </w:trPr>
        <w:tc>
          <w:tcPr>
            <w:tcW w:w="1890" w:type="dxa"/>
          </w:tcPr>
          <w:p w14:paraId="05CCC5BE" w14:textId="1A6DA0D2" w:rsidR="00F16687" w:rsidRDefault="00F16687" w:rsidP="00CC1F30">
            <w:pPr>
              <w:tabs>
                <w:tab w:val="left" w:pos="0"/>
              </w:tabs>
              <w:spacing w:line="480" w:lineRule="exact"/>
              <w:jc w:val="both"/>
              <w:rPr>
                <w:bCs/>
              </w:rPr>
            </w:pPr>
            <w:r>
              <w:rPr>
                <w:bCs/>
              </w:rPr>
              <w:t xml:space="preserve">WEC </w:t>
            </w:r>
          </w:p>
        </w:tc>
        <w:tc>
          <w:tcPr>
            <w:tcW w:w="4590" w:type="dxa"/>
          </w:tcPr>
          <w:p w14:paraId="1BCAC033" w14:textId="304529C3" w:rsidR="00F16687" w:rsidRDefault="00F16687" w:rsidP="00CC1F30">
            <w:pPr>
              <w:tabs>
                <w:tab w:val="left" w:pos="0"/>
              </w:tabs>
              <w:spacing w:line="480" w:lineRule="exact"/>
              <w:jc w:val="both"/>
              <w:rPr>
                <w:bCs/>
              </w:rPr>
            </w:pPr>
            <w:r>
              <w:rPr>
                <w:bCs/>
              </w:rPr>
              <w:t>WEC Energy Group</w:t>
            </w:r>
          </w:p>
        </w:tc>
      </w:tr>
      <w:tr w:rsidR="00F16687" w14:paraId="2F91A339" w14:textId="77777777" w:rsidTr="00F16687">
        <w:trPr>
          <w:jc w:val="center"/>
        </w:trPr>
        <w:tc>
          <w:tcPr>
            <w:tcW w:w="1890" w:type="dxa"/>
          </w:tcPr>
          <w:p w14:paraId="6DE5AE8D" w14:textId="41E5A8EA" w:rsidR="00F16687" w:rsidRDefault="00F16687" w:rsidP="00CC1F30">
            <w:pPr>
              <w:tabs>
                <w:tab w:val="left" w:pos="0"/>
              </w:tabs>
              <w:spacing w:line="480" w:lineRule="exact"/>
              <w:jc w:val="both"/>
              <w:rPr>
                <w:bCs/>
              </w:rPr>
            </w:pPr>
            <w:r>
              <w:rPr>
                <w:bCs/>
              </w:rPr>
              <w:t>XEL</w:t>
            </w:r>
          </w:p>
        </w:tc>
        <w:tc>
          <w:tcPr>
            <w:tcW w:w="4590" w:type="dxa"/>
          </w:tcPr>
          <w:p w14:paraId="1F66387C" w14:textId="2FF42899" w:rsidR="00F16687" w:rsidRDefault="00F16687" w:rsidP="00CC1F30">
            <w:pPr>
              <w:tabs>
                <w:tab w:val="left" w:pos="0"/>
              </w:tabs>
              <w:spacing w:line="480" w:lineRule="exact"/>
              <w:jc w:val="both"/>
              <w:rPr>
                <w:bCs/>
              </w:rPr>
            </w:pPr>
            <w:r>
              <w:rPr>
                <w:bCs/>
              </w:rPr>
              <w:t>Xcel Energy</w:t>
            </w:r>
          </w:p>
        </w:tc>
      </w:tr>
    </w:tbl>
    <w:p w14:paraId="1750E453" w14:textId="77777777" w:rsidR="00CC1F30" w:rsidRPr="00CC1F30" w:rsidRDefault="00CC1F30" w:rsidP="00204A6E">
      <w:pPr>
        <w:tabs>
          <w:tab w:val="left" w:pos="0"/>
        </w:tabs>
        <w:spacing w:line="480" w:lineRule="exact"/>
        <w:ind w:left="720" w:hanging="720"/>
        <w:jc w:val="both"/>
        <w:rPr>
          <w:bCs/>
        </w:rPr>
      </w:pPr>
    </w:p>
    <w:p w14:paraId="6B07BC99" w14:textId="60C95F4A" w:rsidR="00F16687" w:rsidRPr="00F16687" w:rsidRDefault="00F16687" w:rsidP="00204A6E">
      <w:pPr>
        <w:tabs>
          <w:tab w:val="left" w:pos="0"/>
        </w:tabs>
        <w:spacing w:line="480" w:lineRule="exact"/>
        <w:ind w:left="720" w:hanging="720"/>
        <w:jc w:val="both"/>
        <w:rPr>
          <w:b/>
          <w:bCs/>
        </w:rPr>
      </w:pPr>
      <w:r>
        <w:rPr>
          <w:b/>
          <w:bCs/>
        </w:rPr>
        <w:t>Q.</w:t>
      </w:r>
      <w:r>
        <w:rPr>
          <w:b/>
          <w:bCs/>
        </w:rPr>
        <w:tab/>
        <w:t xml:space="preserve">Are these the same companies that constitute the comparable group that EPE’s witness Jennifer Nelson used for her analysis? </w:t>
      </w:r>
    </w:p>
    <w:p w14:paraId="30C91E1A" w14:textId="3EFF8656" w:rsidR="003503F5" w:rsidRDefault="00BE3AD3" w:rsidP="00F16687">
      <w:pPr>
        <w:tabs>
          <w:tab w:val="left" w:pos="0"/>
        </w:tabs>
        <w:spacing w:line="480" w:lineRule="exact"/>
        <w:ind w:left="720" w:hanging="720"/>
        <w:jc w:val="both"/>
      </w:pPr>
      <w:r w:rsidRPr="004079F2">
        <w:t>A.</w:t>
      </w:r>
      <w:r w:rsidRPr="004079F2">
        <w:tab/>
      </w:r>
      <w:r w:rsidR="00F16687">
        <w:t>No.  The group of companies that I believe are comparable to EPE is not the same as Ms. Nelson’s group of comparable companies, although they are similar.</w:t>
      </w:r>
    </w:p>
    <w:p w14:paraId="02EA5780" w14:textId="77777777" w:rsidR="00E932E7" w:rsidRDefault="00E932E7" w:rsidP="00E932E7">
      <w:pPr>
        <w:tabs>
          <w:tab w:val="left" w:pos="0"/>
        </w:tabs>
        <w:spacing w:line="240" w:lineRule="auto"/>
        <w:ind w:left="720" w:hanging="720"/>
        <w:jc w:val="both"/>
        <w:rPr>
          <w:b/>
        </w:rPr>
      </w:pPr>
    </w:p>
    <w:p w14:paraId="2FFB7F4C" w14:textId="60DDD3E1" w:rsidR="00BE3AD3" w:rsidRPr="004079F2" w:rsidRDefault="00BE3AD3" w:rsidP="00204A6E">
      <w:pPr>
        <w:tabs>
          <w:tab w:val="left" w:pos="0"/>
        </w:tabs>
        <w:spacing w:line="480" w:lineRule="exact"/>
        <w:ind w:left="720" w:hanging="720"/>
        <w:jc w:val="both"/>
        <w:rPr>
          <w:b/>
        </w:rPr>
      </w:pPr>
      <w:r w:rsidRPr="004079F2">
        <w:rPr>
          <w:b/>
        </w:rPr>
        <w:t>Q.</w:t>
      </w:r>
      <w:r w:rsidRPr="004079F2">
        <w:rPr>
          <w:b/>
        </w:rPr>
        <w:tab/>
      </w:r>
      <w:r w:rsidR="00F16687">
        <w:rPr>
          <w:b/>
        </w:rPr>
        <w:t>Would you expect that the composition</w:t>
      </w:r>
      <w:r w:rsidR="00AE041F">
        <w:rPr>
          <w:b/>
        </w:rPr>
        <w:t>s</w:t>
      </w:r>
      <w:r w:rsidR="00F16687">
        <w:rPr>
          <w:b/>
        </w:rPr>
        <w:t xml:space="preserve"> of comparable group</w:t>
      </w:r>
      <w:r w:rsidR="00AE041F">
        <w:rPr>
          <w:b/>
        </w:rPr>
        <w:t>s</w:t>
      </w:r>
      <w:r w:rsidR="00F16687">
        <w:rPr>
          <w:b/>
        </w:rPr>
        <w:t xml:space="preserve"> would be the same for every rate-of-return witness in a utility rate case</w:t>
      </w:r>
      <w:r w:rsidRPr="004079F2">
        <w:rPr>
          <w:b/>
        </w:rPr>
        <w:t>?</w:t>
      </w:r>
    </w:p>
    <w:p w14:paraId="152104C4" w14:textId="6DD26B36" w:rsidR="003503F5" w:rsidRDefault="00BE3AD3" w:rsidP="00204A6E">
      <w:pPr>
        <w:tabs>
          <w:tab w:val="left" w:pos="0"/>
        </w:tabs>
        <w:spacing w:line="480" w:lineRule="exact"/>
        <w:ind w:left="720" w:hanging="720"/>
        <w:jc w:val="both"/>
      </w:pPr>
      <w:r w:rsidRPr="004079F2">
        <w:t>A.</w:t>
      </w:r>
      <w:r w:rsidRPr="004079F2">
        <w:tab/>
      </w:r>
      <w:r w:rsidR="00F16687">
        <w:t>No.  Differences in selection criteria will lead to different compositions of comparable groups</w:t>
      </w:r>
      <w:r w:rsidR="00E87427" w:rsidRPr="004079F2">
        <w:t>.</w:t>
      </w:r>
      <w:r w:rsidR="00F16687">
        <w:t xml:space="preserve">  It is common in utility rate cases for the compositions of rate-of-return witnesses’ comparable groups to differ.</w:t>
      </w:r>
      <w:r w:rsidRPr="004079F2">
        <w:t xml:space="preserve"> </w:t>
      </w:r>
    </w:p>
    <w:p w14:paraId="2874BBAC" w14:textId="77777777" w:rsidR="008E0D83" w:rsidRDefault="008E0D83" w:rsidP="00E932E7">
      <w:pPr>
        <w:tabs>
          <w:tab w:val="left" w:pos="0"/>
        </w:tabs>
        <w:spacing w:line="240" w:lineRule="auto"/>
        <w:ind w:left="720" w:hanging="720"/>
        <w:jc w:val="both"/>
        <w:rPr>
          <w:b/>
        </w:rPr>
      </w:pPr>
    </w:p>
    <w:p w14:paraId="4002FF65" w14:textId="50E7497B" w:rsidR="00BE3AD3" w:rsidRDefault="00994E2A" w:rsidP="00994E2A">
      <w:pPr>
        <w:pStyle w:val="Heading2"/>
        <w:spacing w:line="480" w:lineRule="atLeast"/>
      </w:pPr>
      <w:bookmarkStart w:id="7" w:name="_Toc85035564"/>
      <w:r>
        <w:t>DISCOUNTED CASH FLOW</w:t>
      </w:r>
      <w:bookmarkEnd w:id="7"/>
    </w:p>
    <w:p w14:paraId="4BEDDE1A" w14:textId="0331B365" w:rsidR="00994E2A" w:rsidRPr="00994E2A" w:rsidRDefault="00994E2A" w:rsidP="00994E2A">
      <w:pPr>
        <w:spacing w:line="480" w:lineRule="atLeast"/>
        <w:ind w:left="720" w:hanging="720"/>
        <w:rPr>
          <w:b/>
          <w:bCs/>
        </w:rPr>
      </w:pPr>
      <w:r>
        <w:rPr>
          <w:b/>
          <w:bCs/>
        </w:rPr>
        <w:t>Q.</w:t>
      </w:r>
      <w:r>
        <w:rPr>
          <w:b/>
          <w:bCs/>
        </w:rPr>
        <w:tab/>
        <w:t>Please explain the DCF methodology</w:t>
      </w:r>
      <w:r w:rsidR="00FB201D">
        <w:rPr>
          <w:b/>
          <w:bCs/>
        </w:rPr>
        <w:t>.</w:t>
      </w:r>
    </w:p>
    <w:p w14:paraId="49A3E5EA" w14:textId="77777777" w:rsidR="00994E2A" w:rsidRPr="0088510E" w:rsidRDefault="00994E2A" w:rsidP="00994E2A">
      <w:pPr>
        <w:pStyle w:val="answer"/>
        <w:numPr>
          <w:ilvl w:val="0"/>
          <w:numId w:val="38"/>
        </w:numPr>
        <w:tabs>
          <w:tab w:val="clear" w:pos="360"/>
          <w:tab w:val="num" w:pos="-3420"/>
          <w:tab w:val="left" w:pos="720"/>
        </w:tabs>
        <w:spacing w:line="480" w:lineRule="atLeast"/>
        <w:ind w:left="720" w:right="0" w:hanging="720"/>
      </w:pPr>
      <w:r>
        <w:t>The DCF methodology derives</w:t>
      </w:r>
      <w:r w:rsidRPr="0088510E">
        <w:t xml:space="preserve"> from the Gordon dividend </w:t>
      </w:r>
      <w:r w:rsidRPr="00F00895">
        <w:t>constant-</w:t>
      </w:r>
      <w:r w:rsidRPr="0088510E">
        <w:t>growth model</w:t>
      </w:r>
      <w:r>
        <w:t xml:space="preserve">.  </w:t>
      </w:r>
      <w:r w:rsidRPr="0088510E">
        <w:t xml:space="preserve">In its original form, the Gordon </w:t>
      </w:r>
      <w:r>
        <w:t>dividend growth model is</w:t>
      </w:r>
      <w:r w:rsidRPr="0088510E">
        <w:t xml:space="preserve"> a tool </w:t>
      </w:r>
      <w:r>
        <w:t xml:space="preserve">used </w:t>
      </w:r>
      <w:r w:rsidRPr="0088510E">
        <w:t>for determining the value of a share of common stock</w:t>
      </w:r>
      <w:r>
        <w:t xml:space="preserve">.  </w:t>
      </w:r>
      <w:r w:rsidRPr="0088510E">
        <w:t>The theory underlying the model holds that the price of a share is equal to the present value of all future dividends</w:t>
      </w:r>
      <w:r>
        <w:t xml:space="preserve">.  </w:t>
      </w:r>
      <w:r w:rsidRPr="0088510E">
        <w:t>It is expressed mathematically as follows:</w:t>
      </w:r>
    </w:p>
    <w:p w14:paraId="2FB81DA5" w14:textId="5FBE3642" w:rsidR="00994E2A" w:rsidRPr="00994E2A" w:rsidRDefault="00994E2A" w:rsidP="00994E2A">
      <w:pPr>
        <w:pStyle w:val="PlainText"/>
        <w:keepNext/>
        <w:keepLines/>
        <w:tabs>
          <w:tab w:val="left" w:pos="2340"/>
          <w:tab w:val="left" w:pos="3690"/>
          <w:tab w:val="left" w:pos="5490"/>
        </w:tabs>
        <w:jc w:val="both"/>
        <w:rPr>
          <w:rFonts w:ascii="Times New Roman" w:hAnsi="Times New Roman"/>
          <w:sz w:val="24"/>
          <w:szCs w:val="24"/>
        </w:rPr>
      </w:pPr>
      <w:r w:rsidRPr="00994E2A">
        <w:rPr>
          <w:rFonts w:ascii="Times New Roman" w:hAnsi="Times New Roman"/>
          <w:sz w:val="24"/>
          <w:szCs w:val="24"/>
        </w:rPr>
        <w:t xml:space="preserve">              </w:t>
      </w:r>
      <w:r>
        <w:rPr>
          <w:rFonts w:ascii="Times New Roman" w:hAnsi="Times New Roman"/>
          <w:sz w:val="24"/>
          <w:szCs w:val="24"/>
        </w:rPr>
        <w:tab/>
      </w:r>
      <w:r w:rsidRPr="00994E2A">
        <w:rPr>
          <w:rFonts w:ascii="Times New Roman" w:hAnsi="Times New Roman"/>
          <w:sz w:val="24"/>
          <w:szCs w:val="24"/>
        </w:rPr>
        <w:t xml:space="preserve"> D</w:t>
      </w:r>
      <w:r w:rsidRPr="00994E2A">
        <w:rPr>
          <w:rFonts w:ascii="Times New Roman" w:hAnsi="Times New Roman"/>
          <w:sz w:val="24"/>
          <w:szCs w:val="24"/>
          <w:vertAlign w:val="subscript"/>
        </w:rPr>
        <w:t xml:space="preserve">1                </w:t>
      </w:r>
      <w:r w:rsidRPr="00994E2A">
        <w:rPr>
          <w:rFonts w:ascii="Times New Roman" w:hAnsi="Times New Roman"/>
          <w:sz w:val="24"/>
          <w:szCs w:val="24"/>
        </w:rPr>
        <w:t>D</w:t>
      </w:r>
      <w:r w:rsidRPr="00994E2A">
        <w:rPr>
          <w:rFonts w:ascii="Times New Roman" w:hAnsi="Times New Roman"/>
          <w:sz w:val="24"/>
          <w:szCs w:val="24"/>
          <w:vertAlign w:val="subscript"/>
        </w:rPr>
        <w:t xml:space="preserve">2                   </w:t>
      </w:r>
      <w:proofErr w:type="spellStart"/>
      <w:r w:rsidRPr="00994E2A">
        <w:rPr>
          <w:rFonts w:ascii="Times New Roman" w:hAnsi="Times New Roman"/>
          <w:sz w:val="24"/>
          <w:szCs w:val="24"/>
        </w:rPr>
        <w:t>D</w:t>
      </w:r>
      <w:r w:rsidRPr="00994E2A">
        <w:rPr>
          <w:rFonts w:ascii="Times New Roman" w:hAnsi="Times New Roman"/>
          <w:sz w:val="24"/>
          <w:szCs w:val="24"/>
          <w:vertAlign w:val="subscript"/>
        </w:rPr>
        <w:t>n</w:t>
      </w:r>
      <w:proofErr w:type="spellEnd"/>
    </w:p>
    <w:p w14:paraId="45562266" w14:textId="0F28E8CB" w:rsidR="00994E2A" w:rsidRPr="00994E2A" w:rsidRDefault="00994E2A" w:rsidP="00994E2A">
      <w:pPr>
        <w:pStyle w:val="PlainText"/>
        <w:keepNext/>
        <w:keepLines/>
        <w:jc w:val="both"/>
        <w:rPr>
          <w:rFonts w:ascii="Times New Roman" w:hAnsi="Times New Roman"/>
          <w:sz w:val="24"/>
          <w:szCs w:val="24"/>
        </w:rPr>
      </w:pPr>
      <w:r w:rsidRPr="00994E2A">
        <w:rPr>
          <w:rFonts w:ascii="Times New Roman" w:hAnsi="Times New Roman"/>
          <w:sz w:val="24"/>
          <w:szCs w:val="24"/>
        </w:rPr>
        <w:tab/>
      </w:r>
      <w:r w:rsidRPr="00994E2A">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94E2A">
        <w:rPr>
          <w:rFonts w:ascii="Times New Roman" w:hAnsi="Times New Roman"/>
          <w:sz w:val="24"/>
          <w:szCs w:val="24"/>
        </w:rPr>
        <w:t>P</w:t>
      </w:r>
      <w:r w:rsidRPr="00994E2A">
        <w:rPr>
          <w:rFonts w:ascii="Times New Roman" w:hAnsi="Times New Roman"/>
          <w:sz w:val="24"/>
          <w:szCs w:val="24"/>
          <w:vertAlign w:val="subscript"/>
        </w:rPr>
        <w:t xml:space="preserve">o </w:t>
      </w:r>
      <w:r w:rsidRPr="00994E2A">
        <w:rPr>
          <w:rFonts w:ascii="Times New Roman" w:hAnsi="Times New Roman"/>
          <w:sz w:val="24"/>
          <w:szCs w:val="24"/>
        </w:rPr>
        <w:t xml:space="preserve"> = ----------- +  ----------- + . . . + ---------</w:t>
      </w:r>
    </w:p>
    <w:p w14:paraId="14728CA2" w14:textId="1EB8421A" w:rsidR="00994E2A" w:rsidRPr="00994E2A" w:rsidRDefault="00994E2A" w:rsidP="00994E2A">
      <w:pPr>
        <w:pStyle w:val="PlainText"/>
        <w:tabs>
          <w:tab w:val="left" w:pos="2070"/>
          <w:tab w:val="left" w:pos="3420"/>
          <w:tab w:val="left" w:pos="5310"/>
        </w:tabs>
        <w:spacing w:after="240" w:line="480" w:lineRule="auto"/>
        <w:ind w:left="720" w:hanging="720"/>
        <w:jc w:val="both"/>
        <w:rPr>
          <w:rFonts w:ascii="Times New Roman" w:hAnsi="Times New Roman"/>
          <w:sz w:val="24"/>
          <w:szCs w:val="24"/>
        </w:rPr>
      </w:pPr>
      <w:r>
        <w:rPr>
          <w:rFonts w:ascii="Times New Roman" w:hAnsi="Times New Roman"/>
          <w:sz w:val="24"/>
          <w:szCs w:val="24"/>
        </w:rPr>
        <w:tab/>
        <w:t xml:space="preserve">     </w:t>
      </w:r>
      <w:r>
        <w:rPr>
          <w:rFonts w:ascii="Times New Roman" w:hAnsi="Times New Roman"/>
          <w:sz w:val="24"/>
          <w:szCs w:val="24"/>
        </w:rPr>
        <w:tab/>
        <w:t xml:space="preserve"> </w:t>
      </w:r>
      <w:r w:rsidRPr="00994E2A">
        <w:rPr>
          <w:rFonts w:ascii="Times New Roman" w:hAnsi="Times New Roman"/>
          <w:sz w:val="24"/>
          <w:szCs w:val="24"/>
        </w:rPr>
        <w:t>(1 + k)</w:t>
      </w:r>
      <w:r w:rsidRPr="00994E2A">
        <w:rPr>
          <w:rFonts w:ascii="Times New Roman" w:hAnsi="Times New Roman"/>
          <w:sz w:val="24"/>
          <w:szCs w:val="24"/>
          <w:vertAlign w:val="superscript"/>
        </w:rPr>
        <w:t xml:space="preserve">1      </w:t>
      </w:r>
      <w:r w:rsidRPr="00994E2A">
        <w:rPr>
          <w:rFonts w:ascii="Times New Roman" w:hAnsi="Times New Roman"/>
          <w:sz w:val="24"/>
          <w:szCs w:val="24"/>
        </w:rPr>
        <w:t xml:space="preserve"> (1 + k)</w:t>
      </w:r>
      <w:r w:rsidRPr="00994E2A">
        <w:rPr>
          <w:rFonts w:ascii="Times New Roman" w:hAnsi="Times New Roman"/>
          <w:sz w:val="24"/>
          <w:szCs w:val="24"/>
          <w:vertAlign w:val="superscript"/>
        </w:rPr>
        <w:t xml:space="preserve">2        </w:t>
      </w:r>
      <w:r>
        <w:rPr>
          <w:rFonts w:ascii="Times New Roman" w:hAnsi="Times New Roman"/>
          <w:sz w:val="24"/>
          <w:szCs w:val="24"/>
          <w:vertAlign w:val="superscript"/>
        </w:rPr>
        <w:t xml:space="preserve"> </w:t>
      </w:r>
      <w:r w:rsidRPr="00994E2A">
        <w:rPr>
          <w:rFonts w:ascii="Times New Roman" w:hAnsi="Times New Roman"/>
          <w:sz w:val="24"/>
          <w:szCs w:val="24"/>
          <w:vertAlign w:val="superscript"/>
        </w:rPr>
        <w:t xml:space="preserve">     </w:t>
      </w:r>
      <w:r w:rsidRPr="00994E2A">
        <w:rPr>
          <w:rFonts w:ascii="Times New Roman" w:hAnsi="Times New Roman"/>
          <w:sz w:val="24"/>
          <w:szCs w:val="24"/>
        </w:rPr>
        <w:t>(1 + k)</w:t>
      </w:r>
      <w:r w:rsidRPr="00994E2A">
        <w:rPr>
          <w:rFonts w:ascii="Times New Roman" w:hAnsi="Times New Roman"/>
          <w:sz w:val="24"/>
          <w:szCs w:val="24"/>
          <w:vertAlign w:val="superscript"/>
        </w:rPr>
        <w:t>n</w:t>
      </w:r>
    </w:p>
    <w:p w14:paraId="0989D3B5" w14:textId="77777777" w:rsidR="00994E2A" w:rsidRPr="00994E2A" w:rsidRDefault="00994E2A" w:rsidP="00994E2A">
      <w:pPr>
        <w:pStyle w:val="PlainText"/>
        <w:spacing w:line="480" w:lineRule="atLeast"/>
        <w:ind w:left="720" w:hanging="720"/>
        <w:jc w:val="both"/>
        <w:rPr>
          <w:rFonts w:ascii="Times New Roman" w:hAnsi="Times New Roman"/>
          <w:sz w:val="24"/>
          <w:szCs w:val="24"/>
        </w:rPr>
      </w:pPr>
      <w:r w:rsidRPr="0088510E">
        <w:rPr>
          <w:rFonts w:ascii="Times New Roman" w:hAnsi="Times New Roman"/>
        </w:rPr>
        <w:lastRenderedPageBreak/>
        <w:tab/>
      </w:r>
      <w:r w:rsidRPr="00994E2A">
        <w:rPr>
          <w:rFonts w:ascii="Times New Roman" w:hAnsi="Times New Roman"/>
          <w:sz w:val="24"/>
          <w:szCs w:val="24"/>
        </w:rPr>
        <w:t>where:</w:t>
      </w:r>
      <w:r w:rsidRPr="00994E2A">
        <w:rPr>
          <w:rFonts w:ascii="Times New Roman" w:hAnsi="Times New Roman"/>
          <w:sz w:val="24"/>
          <w:szCs w:val="24"/>
        </w:rPr>
        <w:tab/>
        <w:t xml:space="preserve">   P</w:t>
      </w:r>
      <w:r w:rsidRPr="00994E2A">
        <w:rPr>
          <w:rFonts w:ascii="Times New Roman" w:hAnsi="Times New Roman"/>
          <w:sz w:val="24"/>
          <w:szCs w:val="24"/>
          <w:vertAlign w:val="subscript"/>
        </w:rPr>
        <w:t>o</w:t>
      </w:r>
      <w:r w:rsidRPr="00994E2A">
        <w:rPr>
          <w:rFonts w:ascii="Times New Roman" w:hAnsi="Times New Roman"/>
          <w:sz w:val="24"/>
          <w:szCs w:val="24"/>
        </w:rPr>
        <w:t xml:space="preserve"> = current share price;</w:t>
      </w:r>
    </w:p>
    <w:p w14:paraId="078B8AB8" w14:textId="15F16C24" w:rsidR="00994E2A" w:rsidRPr="00994E2A" w:rsidRDefault="00994E2A" w:rsidP="00994E2A">
      <w:pPr>
        <w:pStyle w:val="PlainText"/>
        <w:spacing w:line="480" w:lineRule="atLeast"/>
        <w:jc w:val="both"/>
        <w:rPr>
          <w:rFonts w:ascii="Times New Roman" w:hAnsi="Times New Roman"/>
          <w:sz w:val="24"/>
          <w:szCs w:val="24"/>
        </w:rPr>
      </w:pPr>
      <w:r w:rsidRPr="00994E2A">
        <w:rPr>
          <w:rFonts w:ascii="Times New Roman" w:hAnsi="Times New Roman"/>
          <w:sz w:val="24"/>
          <w:szCs w:val="24"/>
        </w:rPr>
        <w:tab/>
        <w:t xml:space="preserve">    </w:t>
      </w:r>
      <w:r w:rsidRPr="00994E2A">
        <w:rPr>
          <w:rFonts w:ascii="Times New Roman" w:hAnsi="Times New Roman"/>
          <w:sz w:val="24"/>
          <w:szCs w:val="24"/>
        </w:rPr>
        <w:tab/>
        <w:t xml:space="preserve">   </w:t>
      </w:r>
      <w:r w:rsidR="00010BB2">
        <w:rPr>
          <w:rFonts w:ascii="Times New Roman" w:hAnsi="Times New Roman"/>
          <w:sz w:val="24"/>
          <w:szCs w:val="24"/>
        </w:rPr>
        <w:tab/>
      </w:r>
      <w:r w:rsidR="00010BB2">
        <w:rPr>
          <w:rFonts w:ascii="Times New Roman" w:hAnsi="Times New Roman"/>
          <w:sz w:val="24"/>
          <w:szCs w:val="24"/>
        </w:rPr>
        <w:tab/>
      </w:r>
      <w:r w:rsidRPr="00994E2A">
        <w:rPr>
          <w:rFonts w:ascii="Times New Roman" w:hAnsi="Times New Roman"/>
          <w:sz w:val="24"/>
          <w:szCs w:val="24"/>
        </w:rPr>
        <w:t>D</w:t>
      </w:r>
      <w:r w:rsidRPr="00994E2A">
        <w:rPr>
          <w:rFonts w:ascii="Times New Roman" w:hAnsi="Times New Roman"/>
          <w:sz w:val="24"/>
          <w:szCs w:val="24"/>
          <w:vertAlign w:val="subscript"/>
        </w:rPr>
        <w:t xml:space="preserve">i </w:t>
      </w:r>
      <w:r w:rsidRPr="00994E2A">
        <w:rPr>
          <w:rFonts w:ascii="Times New Roman" w:hAnsi="Times New Roman"/>
          <w:sz w:val="24"/>
          <w:szCs w:val="24"/>
        </w:rPr>
        <w:t xml:space="preserve">= expected dividend in year </w:t>
      </w:r>
      <w:proofErr w:type="spellStart"/>
      <w:r w:rsidRPr="00994E2A">
        <w:rPr>
          <w:rFonts w:ascii="Times New Roman" w:hAnsi="Times New Roman"/>
          <w:sz w:val="24"/>
          <w:szCs w:val="24"/>
        </w:rPr>
        <w:t>i</w:t>
      </w:r>
      <w:proofErr w:type="spellEnd"/>
    </w:p>
    <w:p w14:paraId="0F555EA8" w14:textId="16F4BB40" w:rsidR="00994E2A" w:rsidRPr="00994E2A" w:rsidRDefault="00994E2A" w:rsidP="00994E2A">
      <w:pPr>
        <w:pStyle w:val="PlainText"/>
        <w:spacing w:line="480" w:lineRule="atLeast"/>
        <w:jc w:val="both"/>
        <w:rPr>
          <w:rFonts w:ascii="Times New Roman" w:hAnsi="Times New Roman"/>
          <w:sz w:val="24"/>
          <w:szCs w:val="24"/>
        </w:rPr>
      </w:pPr>
      <w:r w:rsidRPr="00994E2A">
        <w:rPr>
          <w:rFonts w:ascii="Times New Roman" w:hAnsi="Times New Roman"/>
          <w:sz w:val="24"/>
          <w:szCs w:val="24"/>
        </w:rPr>
        <w:tab/>
        <w:t xml:space="preserve">     </w:t>
      </w:r>
      <w:r w:rsidRPr="00994E2A">
        <w:rPr>
          <w:rFonts w:ascii="Times New Roman" w:hAnsi="Times New Roman"/>
          <w:sz w:val="24"/>
          <w:szCs w:val="24"/>
        </w:rPr>
        <w:tab/>
        <w:t xml:space="preserve">   </w:t>
      </w:r>
      <w:r w:rsidR="00010BB2">
        <w:rPr>
          <w:rFonts w:ascii="Times New Roman" w:hAnsi="Times New Roman"/>
          <w:sz w:val="24"/>
          <w:szCs w:val="24"/>
        </w:rPr>
        <w:tab/>
      </w:r>
      <w:r w:rsidR="00010BB2">
        <w:rPr>
          <w:rFonts w:ascii="Times New Roman" w:hAnsi="Times New Roman"/>
          <w:sz w:val="24"/>
          <w:szCs w:val="24"/>
        </w:rPr>
        <w:tab/>
      </w:r>
      <w:r w:rsidRPr="00994E2A">
        <w:rPr>
          <w:rFonts w:ascii="Times New Roman" w:hAnsi="Times New Roman"/>
          <w:sz w:val="24"/>
          <w:szCs w:val="24"/>
        </w:rPr>
        <w:t>k = investors’ required rate of return</w:t>
      </w:r>
    </w:p>
    <w:p w14:paraId="591D1425" w14:textId="468F3756" w:rsidR="00994E2A" w:rsidRPr="00994E2A" w:rsidRDefault="00994E2A" w:rsidP="00994E2A">
      <w:pPr>
        <w:pStyle w:val="PlainText"/>
        <w:spacing w:line="480" w:lineRule="atLeast"/>
        <w:jc w:val="both"/>
        <w:rPr>
          <w:rFonts w:ascii="Times New Roman" w:hAnsi="Times New Roman"/>
          <w:sz w:val="24"/>
          <w:szCs w:val="24"/>
        </w:rPr>
      </w:pPr>
      <w:r w:rsidRPr="00994E2A">
        <w:rPr>
          <w:rFonts w:ascii="Times New Roman" w:hAnsi="Times New Roman"/>
          <w:sz w:val="24"/>
          <w:szCs w:val="24"/>
        </w:rPr>
        <w:tab/>
      </w:r>
      <w:r w:rsidRPr="00994E2A">
        <w:rPr>
          <w:rFonts w:ascii="Times New Roman" w:hAnsi="Times New Roman"/>
          <w:sz w:val="24"/>
          <w:szCs w:val="24"/>
        </w:rPr>
        <w:tab/>
        <w:t xml:space="preserve">  </w:t>
      </w:r>
      <w:r>
        <w:rPr>
          <w:rFonts w:ascii="Times New Roman" w:hAnsi="Times New Roman"/>
          <w:sz w:val="24"/>
          <w:szCs w:val="24"/>
        </w:rPr>
        <w:tab/>
        <w:t xml:space="preserve"> </w:t>
      </w:r>
      <w:r w:rsidRPr="00994E2A">
        <w:rPr>
          <w:rFonts w:ascii="Times New Roman" w:hAnsi="Times New Roman"/>
          <w:sz w:val="24"/>
          <w:szCs w:val="24"/>
        </w:rPr>
        <w:t xml:space="preserve">  </w:t>
      </w:r>
      <w:r w:rsidR="00010BB2">
        <w:rPr>
          <w:rFonts w:ascii="Times New Roman" w:hAnsi="Times New Roman"/>
          <w:sz w:val="24"/>
          <w:szCs w:val="24"/>
        </w:rPr>
        <w:tab/>
      </w:r>
      <w:r w:rsidR="00010BB2">
        <w:rPr>
          <w:rFonts w:ascii="Times New Roman" w:hAnsi="Times New Roman"/>
          <w:sz w:val="24"/>
          <w:szCs w:val="24"/>
        </w:rPr>
        <w:tab/>
      </w:r>
      <w:r w:rsidRPr="00994E2A">
        <w:rPr>
          <w:rFonts w:ascii="Times New Roman" w:hAnsi="Times New Roman"/>
          <w:sz w:val="24"/>
          <w:szCs w:val="24"/>
        </w:rPr>
        <w:t>n = year of expected share price realization</w:t>
      </w:r>
    </w:p>
    <w:p w14:paraId="4B9AA35C" w14:textId="6E3580F4" w:rsidR="00994E2A" w:rsidRDefault="00994E2A" w:rsidP="00E541B6">
      <w:pPr>
        <w:pStyle w:val="PlainText"/>
        <w:spacing w:after="240" w:line="480" w:lineRule="atLeast"/>
        <w:ind w:left="720" w:hanging="720"/>
        <w:jc w:val="both"/>
        <w:rPr>
          <w:rFonts w:ascii="Times New Roman" w:hAnsi="Times New Roman"/>
          <w:sz w:val="24"/>
          <w:szCs w:val="24"/>
        </w:rPr>
      </w:pPr>
      <w:r w:rsidRPr="00994E2A">
        <w:rPr>
          <w:rFonts w:ascii="Times New Roman" w:hAnsi="Times New Roman"/>
          <w:sz w:val="24"/>
          <w:szCs w:val="24"/>
        </w:rPr>
        <w:tab/>
        <w:t>When the dividends are assumed to grow at a constant rate—</w:t>
      </w:r>
      <w:r w:rsidRPr="00994E2A">
        <w:rPr>
          <w:rFonts w:ascii="Times New Roman" w:hAnsi="Times New Roman"/>
          <w:i/>
          <w:sz w:val="24"/>
          <w:szCs w:val="24"/>
        </w:rPr>
        <w:t>g</w:t>
      </w:r>
      <w:r w:rsidRPr="00994E2A">
        <w:rPr>
          <w:rFonts w:ascii="Times New Roman" w:hAnsi="Times New Roman"/>
          <w:sz w:val="24"/>
          <w:szCs w:val="24"/>
        </w:rPr>
        <w:t>—the DCF is of the constant-growth variety and all future dividends can be expressed in terms of the current dividend, D</w:t>
      </w:r>
      <w:r w:rsidRPr="00994E2A">
        <w:rPr>
          <w:rFonts w:ascii="Times New Roman" w:hAnsi="Times New Roman"/>
          <w:sz w:val="24"/>
          <w:szCs w:val="24"/>
          <w:vertAlign w:val="subscript"/>
        </w:rPr>
        <w:t>o</w:t>
      </w:r>
      <w:r w:rsidRPr="00994E2A">
        <w:rPr>
          <w:rFonts w:ascii="Times New Roman" w:hAnsi="Times New Roman"/>
          <w:sz w:val="24"/>
          <w:szCs w:val="24"/>
        </w:rPr>
        <w:t>, by the following equation:</w:t>
      </w:r>
    </w:p>
    <w:p w14:paraId="0679EB0C" w14:textId="63E085E1" w:rsidR="00994E2A" w:rsidRPr="00033A22" w:rsidRDefault="00994E2A" w:rsidP="00994E2A">
      <w:pPr>
        <w:pStyle w:val="PlainText"/>
        <w:keepNext/>
        <w:keepLines/>
        <w:tabs>
          <w:tab w:val="left" w:pos="2070"/>
          <w:tab w:val="left" w:pos="3690"/>
          <w:tab w:val="left" w:pos="5580"/>
        </w:tabs>
        <w:jc w:val="both"/>
        <w:rPr>
          <w:rFonts w:ascii="Times New Roman" w:hAnsi="Times New Roman"/>
          <w:sz w:val="24"/>
          <w:szCs w:val="24"/>
        </w:rPr>
      </w:pPr>
      <w:r w:rsidRPr="00033A22">
        <w:rPr>
          <w:rFonts w:ascii="Times New Roman" w:hAnsi="Times New Roman"/>
          <w:sz w:val="24"/>
          <w:szCs w:val="24"/>
        </w:rPr>
        <w:t xml:space="preserve">                        D</w:t>
      </w:r>
      <w:r w:rsidRPr="00033A22">
        <w:rPr>
          <w:rFonts w:ascii="Times New Roman" w:hAnsi="Times New Roman"/>
          <w:sz w:val="24"/>
          <w:szCs w:val="24"/>
          <w:vertAlign w:val="subscript"/>
        </w:rPr>
        <w:t>o</w:t>
      </w:r>
      <w:r w:rsidRPr="00033A22">
        <w:rPr>
          <w:rFonts w:ascii="Times New Roman" w:hAnsi="Times New Roman"/>
          <w:sz w:val="24"/>
          <w:szCs w:val="24"/>
        </w:rPr>
        <w:t>(1 + g)</w:t>
      </w:r>
      <w:r w:rsidRPr="00033A22">
        <w:rPr>
          <w:rFonts w:ascii="Times New Roman" w:hAnsi="Times New Roman"/>
          <w:sz w:val="24"/>
          <w:szCs w:val="24"/>
          <w:vertAlign w:val="superscript"/>
        </w:rPr>
        <w:t>1</w:t>
      </w:r>
      <w:r w:rsidRPr="00033A22">
        <w:rPr>
          <w:rFonts w:ascii="Times New Roman" w:hAnsi="Times New Roman"/>
          <w:sz w:val="24"/>
          <w:szCs w:val="24"/>
        </w:rPr>
        <w:t xml:space="preserve">       D</w:t>
      </w:r>
      <w:r w:rsidRPr="00033A22">
        <w:rPr>
          <w:rFonts w:ascii="Times New Roman" w:hAnsi="Times New Roman"/>
          <w:sz w:val="24"/>
          <w:szCs w:val="24"/>
          <w:vertAlign w:val="subscript"/>
        </w:rPr>
        <w:t>o</w:t>
      </w:r>
      <w:r w:rsidRPr="00033A22">
        <w:rPr>
          <w:rFonts w:ascii="Times New Roman" w:hAnsi="Times New Roman"/>
          <w:sz w:val="24"/>
          <w:szCs w:val="24"/>
        </w:rPr>
        <w:t>(1 + g)</w:t>
      </w:r>
      <w:r w:rsidRPr="00033A22">
        <w:rPr>
          <w:rFonts w:ascii="Times New Roman" w:hAnsi="Times New Roman"/>
          <w:sz w:val="24"/>
          <w:szCs w:val="24"/>
          <w:vertAlign w:val="superscript"/>
        </w:rPr>
        <w:t xml:space="preserve">2              </w:t>
      </w:r>
      <w:r w:rsidRPr="00033A22">
        <w:rPr>
          <w:rFonts w:ascii="Times New Roman" w:hAnsi="Times New Roman"/>
          <w:sz w:val="24"/>
          <w:szCs w:val="24"/>
        </w:rPr>
        <w:t>D</w:t>
      </w:r>
      <w:r w:rsidRPr="00033A22">
        <w:rPr>
          <w:rFonts w:ascii="Times New Roman" w:hAnsi="Times New Roman"/>
          <w:sz w:val="24"/>
          <w:szCs w:val="24"/>
          <w:vertAlign w:val="subscript"/>
        </w:rPr>
        <w:t>o</w:t>
      </w:r>
      <w:r w:rsidRPr="00033A22">
        <w:rPr>
          <w:rFonts w:ascii="Times New Roman" w:hAnsi="Times New Roman"/>
          <w:sz w:val="24"/>
          <w:szCs w:val="24"/>
        </w:rPr>
        <w:t>(1 + g)</w:t>
      </w:r>
      <w:r w:rsidRPr="00033A22">
        <w:rPr>
          <w:rFonts w:ascii="Times New Roman" w:hAnsi="Times New Roman"/>
          <w:sz w:val="24"/>
          <w:szCs w:val="24"/>
          <w:vertAlign w:val="superscript"/>
        </w:rPr>
        <w:t>n</w:t>
      </w:r>
    </w:p>
    <w:p w14:paraId="0E3AF10C" w14:textId="642797F4" w:rsidR="00994E2A" w:rsidRPr="00033A22" w:rsidRDefault="00994E2A" w:rsidP="00994E2A">
      <w:pPr>
        <w:pStyle w:val="PlainText"/>
        <w:keepNext/>
        <w:keepLines/>
        <w:jc w:val="both"/>
        <w:rPr>
          <w:rFonts w:ascii="Times New Roman" w:hAnsi="Times New Roman"/>
          <w:sz w:val="24"/>
          <w:szCs w:val="24"/>
        </w:rPr>
      </w:pPr>
      <w:r w:rsidRPr="00033A22">
        <w:rPr>
          <w:rFonts w:ascii="Times New Roman" w:hAnsi="Times New Roman"/>
          <w:sz w:val="24"/>
          <w:szCs w:val="24"/>
        </w:rPr>
        <w:tab/>
      </w:r>
      <w:r w:rsidRPr="00033A22">
        <w:rPr>
          <w:rFonts w:ascii="Times New Roman" w:hAnsi="Times New Roman"/>
          <w:sz w:val="24"/>
          <w:szCs w:val="24"/>
        </w:rPr>
        <w:tab/>
      </w:r>
      <w:r w:rsidRPr="00033A22">
        <w:rPr>
          <w:rFonts w:ascii="Times New Roman" w:hAnsi="Times New Roman"/>
          <w:sz w:val="24"/>
          <w:szCs w:val="24"/>
        </w:rPr>
        <w:tab/>
      </w:r>
      <w:r w:rsidRPr="00033A22">
        <w:rPr>
          <w:rFonts w:ascii="Times New Roman" w:hAnsi="Times New Roman"/>
          <w:sz w:val="24"/>
          <w:szCs w:val="24"/>
        </w:rPr>
        <w:tab/>
      </w:r>
      <w:r w:rsidRPr="00033A22">
        <w:rPr>
          <w:rFonts w:ascii="Times New Roman" w:hAnsi="Times New Roman"/>
          <w:sz w:val="24"/>
          <w:szCs w:val="24"/>
        </w:rPr>
        <w:tab/>
        <w:t>P</w:t>
      </w:r>
      <w:r w:rsidRPr="00033A22">
        <w:rPr>
          <w:rFonts w:ascii="Times New Roman" w:hAnsi="Times New Roman"/>
          <w:sz w:val="24"/>
          <w:szCs w:val="24"/>
          <w:vertAlign w:val="subscript"/>
        </w:rPr>
        <w:t>o</w:t>
      </w:r>
      <w:r w:rsidRPr="00033A22">
        <w:rPr>
          <w:rFonts w:ascii="Times New Roman" w:hAnsi="Times New Roman"/>
          <w:sz w:val="24"/>
          <w:szCs w:val="24"/>
        </w:rPr>
        <w:t xml:space="preserve"> =  ------------    + -------------  + . . . + ------------- </w:t>
      </w:r>
    </w:p>
    <w:p w14:paraId="063E09FE" w14:textId="39D4A71B" w:rsidR="00994E2A" w:rsidRPr="00033A22" w:rsidRDefault="00994E2A" w:rsidP="00994E2A">
      <w:pPr>
        <w:pStyle w:val="PlainText"/>
        <w:tabs>
          <w:tab w:val="left" w:pos="2160"/>
          <w:tab w:val="left" w:pos="3780"/>
          <w:tab w:val="left" w:pos="5670"/>
        </w:tabs>
        <w:spacing w:after="240" w:line="480" w:lineRule="auto"/>
        <w:ind w:left="720" w:hanging="720"/>
        <w:jc w:val="both"/>
        <w:rPr>
          <w:rFonts w:ascii="Times New Roman" w:hAnsi="Times New Roman"/>
          <w:sz w:val="24"/>
          <w:szCs w:val="24"/>
        </w:rPr>
      </w:pPr>
      <w:r w:rsidRPr="00033A22">
        <w:rPr>
          <w:rFonts w:ascii="Times New Roman" w:hAnsi="Times New Roman"/>
          <w:sz w:val="24"/>
          <w:szCs w:val="24"/>
        </w:rPr>
        <w:tab/>
        <w:t xml:space="preserve">                (1 + k)</w:t>
      </w:r>
      <w:r w:rsidRPr="00033A22">
        <w:rPr>
          <w:rFonts w:ascii="Times New Roman" w:hAnsi="Times New Roman"/>
          <w:sz w:val="24"/>
          <w:szCs w:val="24"/>
          <w:vertAlign w:val="superscript"/>
        </w:rPr>
        <w:t xml:space="preserve">1              </w:t>
      </w:r>
      <w:r w:rsidRPr="00033A22">
        <w:rPr>
          <w:rFonts w:ascii="Times New Roman" w:hAnsi="Times New Roman"/>
          <w:sz w:val="24"/>
          <w:szCs w:val="24"/>
        </w:rPr>
        <w:t>(1 + k)</w:t>
      </w:r>
      <w:r w:rsidRPr="00033A22">
        <w:rPr>
          <w:rFonts w:ascii="Times New Roman" w:hAnsi="Times New Roman"/>
          <w:sz w:val="24"/>
          <w:szCs w:val="24"/>
          <w:vertAlign w:val="superscript"/>
        </w:rPr>
        <w:t>2</w:t>
      </w:r>
      <w:r w:rsidRPr="00033A22">
        <w:rPr>
          <w:rFonts w:ascii="Times New Roman" w:hAnsi="Times New Roman"/>
          <w:sz w:val="24"/>
          <w:szCs w:val="24"/>
        </w:rPr>
        <w:t xml:space="preserve">             (1 + k)</w:t>
      </w:r>
      <w:r w:rsidRPr="00033A22">
        <w:rPr>
          <w:rFonts w:ascii="Times New Roman" w:hAnsi="Times New Roman"/>
          <w:sz w:val="24"/>
          <w:szCs w:val="24"/>
          <w:vertAlign w:val="superscript"/>
        </w:rPr>
        <w:t>n</w:t>
      </w:r>
    </w:p>
    <w:p w14:paraId="62DDEB62" w14:textId="5391F37A" w:rsidR="00994E2A" w:rsidRPr="00994E2A" w:rsidRDefault="00994E2A" w:rsidP="00994E2A">
      <w:pPr>
        <w:pStyle w:val="PlainText"/>
        <w:spacing w:after="240" w:line="480" w:lineRule="atLeast"/>
        <w:ind w:left="720" w:hanging="720"/>
        <w:jc w:val="both"/>
        <w:rPr>
          <w:rFonts w:ascii="Times New Roman" w:hAnsi="Times New Roman"/>
          <w:sz w:val="24"/>
          <w:szCs w:val="24"/>
        </w:rPr>
      </w:pPr>
      <w:r w:rsidRPr="0088510E">
        <w:rPr>
          <w:rFonts w:ascii="Times New Roman" w:hAnsi="Times New Roman"/>
        </w:rPr>
        <w:tab/>
      </w:r>
      <w:r w:rsidRPr="00994E2A">
        <w:rPr>
          <w:rFonts w:ascii="Times New Roman" w:hAnsi="Times New Roman"/>
          <w:sz w:val="24"/>
          <w:szCs w:val="24"/>
        </w:rPr>
        <w:t>Finally, if the discount rate or required rate of return—</w:t>
      </w:r>
      <w:r w:rsidRPr="00994E2A">
        <w:rPr>
          <w:rFonts w:ascii="Times New Roman" w:hAnsi="Times New Roman"/>
          <w:i/>
          <w:sz w:val="24"/>
          <w:szCs w:val="24"/>
        </w:rPr>
        <w:t>k</w:t>
      </w:r>
      <w:r w:rsidRPr="00994E2A">
        <w:rPr>
          <w:rFonts w:ascii="Times New Roman" w:hAnsi="Times New Roman"/>
          <w:sz w:val="24"/>
          <w:szCs w:val="24"/>
        </w:rPr>
        <w:t xml:space="preserve">—is assumed to be constant from year to year, and </w:t>
      </w:r>
      <w:r w:rsidRPr="00994E2A">
        <w:rPr>
          <w:rFonts w:ascii="Times New Roman" w:hAnsi="Times New Roman"/>
          <w:i/>
          <w:sz w:val="24"/>
          <w:szCs w:val="24"/>
        </w:rPr>
        <w:t>k</w:t>
      </w:r>
      <w:r w:rsidRPr="00994E2A">
        <w:rPr>
          <w:rFonts w:ascii="Times New Roman" w:hAnsi="Times New Roman"/>
          <w:sz w:val="24"/>
          <w:szCs w:val="24"/>
        </w:rPr>
        <w:t xml:space="preserve"> is greater than </w:t>
      </w:r>
      <w:r w:rsidRPr="00994E2A">
        <w:rPr>
          <w:rFonts w:ascii="Times New Roman" w:hAnsi="Times New Roman"/>
          <w:i/>
          <w:sz w:val="24"/>
          <w:szCs w:val="24"/>
        </w:rPr>
        <w:t>g</w:t>
      </w:r>
      <w:r w:rsidRPr="00994E2A">
        <w:rPr>
          <w:rFonts w:ascii="Times New Roman" w:hAnsi="Times New Roman"/>
          <w:sz w:val="24"/>
          <w:szCs w:val="24"/>
        </w:rPr>
        <w:t xml:space="preserve">, then the equation above reduces to the following form as </w:t>
      </w:r>
      <w:r w:rsidRPr="00994E2A">
        <w:rPr>
          <w:rFonts w:ascii="Times New Roman" w:hAnsi="Times New Roman"/>
          <w:i/>
          <w:sz w:val="24"/>
          <w:szCs w:val="24"/>
        </w:rPr>
        <w:t>n</w:t>
      </w:r>
      <w:r w:rsidRPr="00994E2A">
        <w:rPr>
          <w:rFonts w:ascii="Times New Roman" w:hAnsi="Times New Roman"/>
          <w:sz w:val="24"/>
          <w:szCs w:val="24"/>
        </w:rPr>
        <w:t xml:space="preserve"> approaches infinity:</w:t>
      </w:r>
    </w:p>
    <w:p w14:paraId="6F3CE70D" w14:textId="77777777" w:rsidR="00994E2A" w:rsidRPr="00994E2A" w:rsidRDefault="00994E2A" w:rsidP="00994E2A">
      <w:pPr>
        <w:pStyle w:val="PlainText"/>
        <w:keepNext/>
        <w:keepLines/>
        <w:tabs>
          <w:tab w:val="left" w:pos="2070"/>
        </w:tabs>
        <w:ind w:firstLine="720"/>
        <w:jc w:val="both"/>
        <w:rPr>
          <w:rFonts w:ascii="Times New Roman" w:hAnsi="Times New Roman"/>
          <w:sz w:val="24"/>
          <w:szCs w:val="24"/>
        </w:rPr>
      </w:pPr>
      <w:r w:rsidRPr="0088510E">
        <w:rPr>
          <w:rFonts w:ascii="Times New Roman" w:hAnsi="Times New Roman"/>
        </w:rPr>
        <w:tab/>
      </w:r>
      <w:r w:rsidRPr="00994E2A">
        <w:rPr>
          <w:rFonts w:ascii="Times New Roman" w:hAnsi="Times New Roman"/>
          <w:sz w:val="24"/>
          <w:szCs w:val="24"/>
        </w:rPr>
        <w:t>D</w:t>
      </w:r>
      <w:r w:rsidRPr="00994E2A">
        <w:rPr>
          <w:rFonts w:ascii="Times New Roman" w:hAnsi="Times New Roman"/>
          <w:sz w:val="24"/>
          <w:szCs w:val="24"/>
          <w:vertAlign w:val="subscript"/>
        </w:rPr>
        <w:t>o</w:t>
      </w:r>
      <w:r w:rsidRPr="00994E2A">
        <w:rPr>
          <w:rFonts w:ascii="Times New Roman" w:hAnsi="Times New Roman"/>
          <w:sz w:val="24"/>
          <w:szCs w:val="24"/>
        </w:rPr>
        <w:t>(1 + g)</w:t>
      </w:r>
      <w:r w:rsidRPr="00994E2A">
        <w:rPr>
          <w:rFonts w:ascii="Times New Roman" w:hAnsi="Times New Roman"/>
          <w:sz w:val="24"/>
          <w:szCs w:val="24"/>
        </w:rPr>
        <w:tab/>
      </w:r>
    </w:p>
    <w:p w14:paraId="0E78C414" w14:textId="24E019A4" w:rsidR="00994E2A" w:rsidRPr="00994E2A" w:rsidRDefault="00994E2A" w:rsidP="00994E2A">
      <w:pPr>
        <w:pStyle w:val="PlainText"/>
        <w:keepNext/>
        <w:keepLines/>
        <w:jc w:val="both"/>
        <w:rPr>
          <w:rFonts w:ascii="Times New Roman" w:hAnsi="Times New Roman"/>
          <w:sz w:val="24"/>
          <w:szCs w:val="24"/>
        </w:rPr>
      </w:pPr>
      <w:r w:rsidRPr="00994E2A">
        <w:rPr>
          <w:rFonts w:ascii="Times New Roman" w:hAnsi="Times New Roman"/>
          <w:sz w:val="24"/>
          <w:szCs w:val="24"/>
        </w:rPr>
        <w:tab/>
      </w:r>
      <w:r w:rsidRPr="00994E2A">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94E2A">
        <w:rPr>
          <w:rFonts w:ascii="Times New Roman" w:hAnsi="Times New Roman"/>
          <w:sz w:val="24"/>
          <w:szCs w:val="24"/>
        </w:rPr>
        <w:t>P</w:t>
      </w:r>
      <w:r w:rsidRPr="00994E2A">
        <w:rPr>
          <w:rFonts w:ascii="Times New Roman" w:hAnsi="Times New Roman"/>
          <w:sz w:val="24"/>
          <w:szCs w:val="24"/>
          <w:vertAlign w:val="subscript"/>
        </w:rPr>
        <w:t xml:space="preserve">o </w:t>
      </w:r>
      <w:r w:rsidRPr="00994E2A">
        <w:rPr>
          <w:rFonts w:ascii="Times New Roman" w:hAnsi="Times New Roman"/>
          <w:sz w:val="24"/>
          <w:szCs w:val="24"/>
        </w:rPr>
        <w:t xml:space="preserve"> = ------------</w:t>
      </w:r>
    </w:p>
    <w:p w14:paraId="4A06EB89" w14:textId="77777777" w:rsidR="00994E2A" w:rsidRPr="00994E2A" w:rsidRDefault="00994E2A" w:rsidP="00994E2A">
      <w:pPr>
        <w:pStyle w:val="PlainText"/>
        <w:tabs>
          <w:tab w:val="left" w:pos="2160"/>
        </w:tabs>
        <w:ind w:left="720" w:hanging="720"/>
        <w:jc w:val="both"/>
        <w:rPr>
          <w:rFonts w:ascii="Times New Roman" w:hAnsi="Times New Roman"/>
          <w:sz w:val="24"/>
          <w:szCs w:val="24"/>
        </w:rPr>
      </w:pPr>
      <w:r w:rsidRPr="00994E2A">
        <w:rPr>
          <w:rFonts w:ascii="Times New Roman" w:hAnsi="Times New Roman"/>
          <w:sz w:val="24"/>
          <w:szCs w:val="24"/>
        </w:rPr>
        <w:tab/>
      </w:r>
      <w:r w:rsidRPr="00994E2A">
        <w:rPr>
          <w:rFonts w:ascii="Times New Roman" w:hAnsi="Times New Roman"/>
          <w:sz w:val="24"/>
          <w:szCs w:val="24"/>
        </w:rPr>
        <w:tab/>
        <w:t>(k - g)</w:t>
      </w:r>
    </w:p>
    <w:p w14:paraId="0686D06C" w14:textId="28338E49" w:rsidR="00994E2A" w:rsidRDefault="00994E2A" w:rsidP="00994E2A">
      <w:pPr>
        <w:pStyle w:val="PlainText"/>
        <w:spacing w:after="240" w:line="480" w:lineRule="atLeast"/>
        <w:ind w:left="720" w:hanging="720"/>
        <w:jc w:val="both"/>
        <w:rPr>
          <w:rFonts w:ascii="Times New Roman" w:hAnsi="Times New Roman"/>
          <w:sz w:val="24"/>
          <w:szCs w:val="24"/>
        </w:rPr>
      </w:pPr>
      <w:r w:rsidRPr="00994E2A">
        <w:rPr>
          <w:rFonts w:ascii="Times New Roman" w:hAnsi="Times New Roman"/>
          <w:sz w:val="24"/>
          <w:szCs w:val="24"/>
        </w:rPr>
        <w:tab/>
        <w:t>For purposes of estimating the cost of common equity, the equation above may be rearranged to solve for the investor’s required rate of return:</w:t>
      </w:r>
    </w:p>
    <w:p w14:paraId="7CF6770D" w14:textId="24ECE018" w:rsidR="00994E2A" w:rsidRPr="00994E2A" w:rsidRDefault="00994E2A" w:rsidP="00994E2A">
      <w:pPr>
        <w:pStyle w:val="PlainText"/>
        <w:keepNext/>
        <w:keepLines/>
        <w:tabs>
          <w:tab w:val="left" w:pos="1980"/>
        </w:tabs>
        <w:jc w:val="both"/>
        <w:rPr>
          <w:rFonts w:ascii="Times New Roman" w:hAnsi="Times New Roman"/>
          <w:sz w:val="24"/>
          <w:szCs w:val="24"/>
        </w:rPr>
      </w:pPr>
      <w:r w:rsidRPr="00994E2A">
        <w:rPr>
          <w:rFonts w:ascii="Times New Roman" w:hAnsi="Times New Roman"/>
          <w:sz w:val="24"/>
          <w:szCs w:val="24"/>
        </w:rPr>
        <w:t xml:space="preserve">                    D</w:t>
      </w:r>
      <w:r w:rsidRPr="00994E2A">
        <w:rPr>
          <w:rFonts w:ascii="Times New Roman" w:hAnsi="Times New Roman"/>
          <w:sz w:val="24"/>
          <w:szCs w:val="24"/>
          <w:vertAlign w:val="subscript"/>
        </w:rPr>
        <w:t>o</w:t>
      </w:r>
      <w:r w:rsidRPr="00994E2A">
        <w:rPr>
          <w:rFonts w:ascii="Times New Roman" w:hAnsi="Times New Roman"/>
          <w:sz w:val="24"/>
          <w:szCs w:val="24"/>
        </w:rPr>
        <w:t>(1 + g)</w:t>
      </w:r>
      <w:r w:rsidRPr="00994E2A">
        <w:rPr>
          <w:rFonts w:ascii="Times New Roman" w:hAnsi="Times New Roman"/>
          <w:sz w:val="24"/>
          <w:szCs w:val="24"/>
        </w:rPr>
        <w:tab/>
      </w:r>
    </w:p>
    <w:p w14:paraId="16423A4A" w14:textId="75E00C37" w:rsidR="00994E2A" w:rsidRPr="00994E2A" w:rsidRDefault="00994E2A" w:rsidP="00994E2A">
      <w:pPr>
        <w:pStyle w:val="PlainText"/>
        <w:keepNext/>
        <w:keepLines/>
        <w:jc w:val="both"/>
        <w:rPr>
          <w:rFonts w:ascii="Times New Roman" w:hAnsi="Times New Roman"/>
          <w:sz w:val="24"/>
          <w:szCs w:val="24"/>
        </w:rPr>
      </w:pPr>
      <w:r w:rsidRPr="00994E2A">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94E2A">
        <w:rPr>
          <w:rFonts w:ascii="Times New Roman" w:hAnsi="Times New Roman"/>
          <w:sz w:val="24"/>
          <w:szCs w:val="24"/>
        </w:rPr>
        <w:tab/>
        <w:t>k = ----------- + g</w:t>
      </w:r>
    </w:p>
    <w:p w14:paraId="05C2F96F" w14:textId="6F29CD5F" w:rsidR="00994E2A" w:rsidRPr="00994E2A" w:rsidRDefault="00994E2A" w:rsidP="00994E2A">
      <w:pPr>
        <w:pStyle w:val="PlainText"/>
        <w:tabs>
          <w:tab w:val="left" w:pos="2340"/>
        </w:tabs>
        <w:ind w:left="720" w:hanging="720"/>
        <w:jc w:val="both"/>
        <w:rPr>
          <w:rFonts w:ascii="Times New Roman" w:hAnsi="Times New Roman"/>
          <w:sz w:val="24"/>
          <w:szCs w:val="24"/>
          <w:vertAlign w:val="subscript"/>
        </w:rPr>
      </w:pPr>
      <w:r w:rsidRPr="00994E2A">
        <w:rPr>
          <w:rFonts w:ascii="Times New Roman" w:hAnsi="Times New Roman"/>
          <w:sz w:val="24"/>
          <w:szCs w:val="24"/>
        </w:rPr>
        <w:tab/>
        <w:t xml:space="preserve">               P</w:t>
      </w:r>
      <w:r w:rsidRPr="00994E2A">
        <w:rPr>
          <w:rFonts w:ascii="Times New Roman" w:hAnsi="Times New Roman"/>
          <w:sz w:val="24"/>
          <w:szCs w:val="24"/>
          <w:vertAlign w:val="subscript"/>
        </w:rPr>
        <w:t>o</w:t>
      </w:r>
    </w:p>
    <w:p w14:paraId="23E7D4EB" w14:textId="0F4BAAE9" w:rsidR="00994E2A" w:rsidRDefault="00994E2A" w:rsidP="00994E2A">
      <w:pPr>
        <w:pStyle w:val="PlainText"/>
        <w:keepNext/>
        <w:spacing w:after="240" w:line="480" w:lineRule="atLeast"/>
        <w:ind w:left="720"/>
        <w:jc w:val="both"/>
        <w:rPr>
          <w:rFonts w:ascii="Times New Roman" w:hAnsi="Times New Roman"/>
          <w:sz w:val="24"/>
          <w:szCs w:val="24"/>
        </w:rPr>
      </w:pPr>
      <w:r w:rsidRPr="00994E2A">
        <w:rPr>
          <w:rFonts w:ascii="Times New Roman" w:hAnsi="Times New Roman"/>
          <w:sz w:val="24"/>
          <w:szCs w:val="24"/>
        </w:rPr>
        <w:t>or more simply:</w:t>
      </w:r>
    </w:p>
    <w:p w14:paraId="0FDFFAB0" w14:textId="0EDFBC68" w:rsidR="00994E2A" w:rsidRPr="00994E2A" w:rsidRDefault="00994E2A" w:rsidP="00994E2A">
      <w:pPr>
        <w:pStyle w:val="PlainText"/>
        <w:keepNext/>
        <w:keepLines/>
        <w:tabs>
          <w:tab w:val="left" w:pos="2280"/>
        </w:tabs>
        <w:jc w:val="both"/>
        <w:rPr>
          <w:rFonts w:ascii="Times New Roman" w:hAnsi="Times New Roman"/>
          <w:sz w:val="24"/>
          <w:szCs w:val="24"/>
        </w:rPr>
      </w:pPr>
      <w:r w:rsidRPr="00994E2A">
        <w:rPr>
          <w:rFonts w:ascii="Times New Roman" w:hAnsi="Times New Roman"/>
          <w:sz w:val="24"/>
          <w:szCs w:val="24"/>
        </w:rPr>
        <w:t xml:space="preserve">                    D</w:t>
      </w:r>
      <w:r w:rsidRPr="00994E2A">
        <w:rPr>
          <w:rFonts w:ascii="Times New Roman" w:hAnsi="Times New Roman"/>
          <w:sz w:val="24"/>
          <w:szCs w:val="24"/>
          <w:vertAlign w:val="subscript"/>
        </w:rPr>
        <w:t>1</w:t>
      </w:r>
    </w:p>
    <w:p w14:paraId="1EA0F813" w14:textId="77777777" w:rsidR="00994E2A" w:rsidRPr="00994E2A" w:rsidRDefault="00994E2A" w:rsidP="00994E2A">
      <w:pPr>
        <w:pStyle w:val="PlainText"/>
        <w:keepNext/>
        <w:keepLines/>
        <w:tabs>
          <w:tab w:val="left" w:pos="1440"/>
          <w:tab w:val="left" w:pos="2280"/>
        </w:tabs>
        <w:jc w:val="both"/>
        <w:rPr>
          <w:rFonts w:ascii="Times New Roman" w:hAnsi="Times New Roman"/>
          <w:sz w:val="24"/>
          <w:szCs w:val="24"/>
        </w:rPr>
      </w:pPr>
      <w:r w:rsidRPr="00994E2A">
        <w:rPr>
          <w:rFonts w:ascii="Times New Roman" w:hAnsi="Times New Roman"/>
          <w:sz w:val="24"/>
          <w:szCs w:val="24"/>
        </w:rPr>
        <w:tab/>
        <w:t>k = ----- + g</w:t>
      </w:r>
    </w:p>
    <w:p w14:paraId="2059A4FB" w14:textId="2A435541" w:rsidR="00994E2A" w:rsidRPr="00994E2A" w:rsidRDefault="00994E2A" w:rsidP="00994E2A">
      <w:pPr>
        <w:pStyle w:val="PlainText"/>
        <w:tabs>
          <w:tab w:val="left" w:pos="2280"/>
        </w:tabs>
        <w:ind w:left="720" w:hanging="720"/>
        <w:jc w:val="both"/>
        <w:rPr>
          <w:rFonts w:ascii="Times New Roman" w:hAnsi="Times New Roman"/>
          <w:sz w:val="24"/>
          <w:szCs w:val="24"/>
          <w:vertAlign w:val="subscript"/>
        </w:rPr>
      </w:pPr>
      <w:r w:rsidRPr="00994E2A">
        <w:rPr>
          <w:rFonts w:ascii="Times New Roman" w:hAnsi="Times New Roman"/>
          <w:sz w:val="24"/>
          <w:szCs w:val="24"/>
        </w:rPr>
        <w:t xml:space="preserve"> </w:t>
      </w:r>
      <w:r w:rsidRPr="00994E2A">
        <w:rPr>
          <w:rFonts w:ascii="Times New Roman" w:hAnsi="Times New Roman"/>
          <w:sz w:val="24"/>
          <w:szCs w:val="24"/>
        </w:rPr>
        <w:tab/>
        <w:t xml:space="preserve">             P</w:t>
      </w:r>
      <w:r w:rsidRPr="00994E2A">
        <w:rPr>
          <w:rFonts w:ascii="Times New Roman" w:hAnsi="Times New Roman"/>
          <w:sz w:val="24"/>
          <w:szCs w:val="24"/>
          <w:vertAlign w:val="subscript"/>
        </w:rPr>
        <w:t>o</w:t>
      </w:r>
    </w:p>
    <w:p w14:paraId="2A1AEDE1" w14:textId="09FC48CB" w:rsidR="00994E2A" w:rsidRDefault="00994E2A" w:rsidP="00994E2A">
      <w:pPr>
        <w:pStyle w:val="PlainText"/>
        <w:spacing w:line="480" w:lineRule="atLeast"/>
        <w:ind w:left="720" w:hanging="720"/>
        <w:jc w:val="both"/>
        <w:rPr>
          <w:rFonts w:ascii="Times New Roman" w:hAnsi="Times New Roman"/>
          <w:sz w:val="24"/>
          <w:szCs w:val="24"/>
        </w:rPr>
      </w:pPr>
      <w:r w:rsidRPr="00994E2A">
        <w:rPr>
          <w:rFonts w:ascii="Times New Roman" w:hAnsi="Times New Roman"/>
          <w:sz w:val="24"/>
          <w:szCs w:val="24"/>
        </w:rPr>
        <w:lastRenderedPageBreak/>
        <w:tab/>
        <w:t xml:space="preserve">The constant-growth DCF model recognizes that the return to the stockholder consists of two parts: dividend yield and growth.  Equity investors expect to receive a portion of their total required return in the form of current dividends and the remainder through price appreciation. </w:t>
      </w:r>
    </w:p>
    <w:p w14:paraId="2E8138D6" w14:textId="77777777" w:rsidR="00E541B6" w:rsidRPr="00994E2A" w:rsidRDefault="00E541B6" w:rsidP="00E541B6">
      <w:pPr>
        <w:pStyle w:val="PlainText"/>
        <w:ind w:left="720" w:hanging="720"/>
        <w:jc w:val="both"/>
        <w:rPr>
          <w:rFonts w:ascii="Times New Roman" w:hAnsi="Times New Roman"/>
          <w:sz w:val="24"/>
          <w:szCs w:val="24"/>
        </w:rPr>
      </w:pPr>
    </w:p>
    <w:p w14:paraId="66248928" w14:textId="77777777" w:rsidR="00994E2A" w:rsidRPr="00E541B6" w:rsidRDefault="00994E2A" w:rsidP="00E541B6">
      <w:pPr>
        <w:pStyle w:val="question"/>
        <w:numPr>
          <w:ilvl w:val="0"/>
          <w:numId w:val="46"/>
        </w:numPr>
        <w:spacing w:line="480" w:lineRule="atLeast"/>
        <w:ind w:left="720" w:hanging="720"/>
      </w:pPr>
      <w:r w:rsidRPr="00E541B6">
        <w:t>Are there variations of the constant-growth DCF model?</w:t>
      </w:r>
    </w:p>
    <w:p w14:paraId="22AEBB1E" w14:textId="4229AB1A" w:rsidR="00994E2A" w:rsidRPr="00E541B6"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 xml:space="preserve">Yes.  For conditions in which different growth rates are expected over different periods of time, analysts often employ a multistage version of the DCF model.  For example, the expected near-term growth of a given company may be higher or lower than the expected sustainable growth rate.  In these situations, it is appropriate to apply a multistage DCF model that incorporates the various growth rates expected over time. </w:t>
      </w:r>
    </w:p>
    <w:p w14:paraId="244D43D8" w14:textId="4C7F9ED2" w:rsidR="00994E2A" w:rsidRPr="00E541B6" w:rsidRDefault="00994E2A" w:rsidP="00E541B6">
      <w:pPr>
        <w:pStyle w:val="additionalparagraph"/>
        <w:spacing w:after="240" w:line="480" w:lineRule="atLeast"/>
        <w:ind w:right="0"/>
      </w:pPr>
      <w:r w:rsidRPr="00E541B6">
        <w:t xml:space="preserve">Under the multistage DCF, the equation for the constant growth DCF is simply expanded to incorporate two or more growth-rate periods, with the assumption that a permanent constant growth rate can be estimated for some point in the future: </w:t>
      </w:r>
    </w:p>
    <w:p w14:paraId="4330760F" w14:textId="139C6982" w:rsidR="00994E2A" w:rsidRPr="00E541B6" w:rsidRDefault="00994E2A" w:rsidP="00E541B6">
      <w:pPr>
        <w:pStyle w:val="PlainText"/>
        <w:keepNext/>
        <w:keepLines/>
        <w:tabs>
          <w:tab w:val="left" w:pos="2520"/>
          <w:tab w:val="left" w:pos="4230"/>
          <w:tab w:val="left" w:pos="4320"/>
          <w:tab w:val="left" w:pos="6210"/>
        </w:tabs>
        <w:ind w:left="450" w:hanging="450"/>
        <w:rPr>
          <w:rFonts w:ascii="Times New Roman" w:hAnsi="Times New Roman"/>
          <w:sz w:val="24"/>
          <w:szCs w:val="24"/>
        </w:rPr>
      </w:pPr>
      <w:r w:rsidRPr="00E541B6">
        <w:rPr>
          <w:rFonts w:ascii="Times New Roman" w:hAnsi="Times New Roman"/>
          <w:sz w:val="24"/>
          <w:szCs w:val="24"/>
        </w:rPr>
        <w:tab/>
        <w:t xml:space="preserve">                 D</w:t>
      </w:r>
      <w:r w:rsidRPr="00E541B6">
        <w:rPr>
          <w:rFonts w:ascii="Times New Roman" w:hAnsi="Times New Roman"/>
          <w:sz w:val="24"/>
          <w:szCs w:val="24"/>
          <w:vertAlign w:val="subscript"/>
        </w:rPr>
        <w:t>0</w:t>
      </w:r>
      <w:r w:rsidRPr="00E541B6">
        <w:rPr>
          <w:rFonts w:ascii="Times New Roman" w:hAnsi="Times New Roman"/>
          <w:sz w:val="24"/>
          <w:szCs w:val="24"/>
        </w:rPr>
        <w:t>(1+g</w:t>
      </w:r>
      <w:r w:rsidRPr="00E541B6">
        <w:rPr>
          <w:rFonts w:ascii="Times New Roman" w:hAnsi="Times New Roman"/>
          <w:sz w:val="24"/>
          <w:szCs w:val="24"/>
          <w:vertAlign w:val="subscript"/>
        </w:rPr>
        <w:t>1</w:t>
      </w:r>
      <w:r w:rsidRPr="00E541B6">
        <w:rPr>
          <w:rFonts w:ascii="Times New Roman" w:hAnsi="Times New Roman"/>
          <w:sz w:val="24"/>
          <w:szCs w:val="24"/>
        </w:rPr>
        <w:t>)     D</w:t>
      </w:r>
      <w:r w:rsidRPr="00E541B6">
        <w:rPr>
          <w:rFonts w:ascii="Times New Roman" w:hAnsi="Times New Roman"/>
          <w:sz w:val="24"/>
          <w:szCs w:val="24"/>
          <w:vertAlign w:val="subscript"/>
        </w:rPr>
        <w:t>1</w:t>
      </w:r>
      <w:r w:rsidRPr="00E541B6">
        <w:rPr>
          <w:rFonts w:ascii="Times New Roman" w:hAnsi="Times New Roman"/>
          <w:sz w:val="24"/>
          <w:szCs w:val="24"/>
        </w:rPr>
        <w:t>(1+g</w:t>
      </w:r>
      <w:r w:rsidRPr="00E541B6">
        <w:rPr>
          <w:rFonts w:ascii="Times New Roman" w:hAnsi="Times New Roman"/>
          <w:sz w:val="24"/>
          <w:szCs w:val="24"/>
          <w:vertAlign w:val="subscript"/>
        </w:rPr>
        <w:t>2</w:t>
      </w:r>
      <w:r w:rsidRPr="00E541B6">
        <w:rPr>
          <w:rFonts w:ascii="Times New Roman" w:hAnsi="Times New Roman"/>
          <w:sz w:val="24"/>
          <w:szCs w:val="24"/>
        </w:rPr>
        <w:t>)</w:t>
      </w:r>
      <w:r w:rsidRPr="00E541B6">
        <w:rPr>
          <w:rFonts w:ascii="Times New Roman" w:hAnsi="Times New Roman"/>
          <w:sz w:val="24"/>
          <w:szCs w:val="24"/>
          <w:vertAlign w:val="subscript"/>
        </w:rPr>
        <w:t xml:space="preserve">              </w:t>
      </w:r>
      <w:r w:rsidRPr="00E541B6">
        <w:rPr>
          <w:rFonts w:ascii="Times New Roman" w:hAnsi="Times New Roman"/>
          <w:sz w:val="24"/>
          <w:szCs w:val="24"/>
        </w:rPr>
        <w:t>D</w:t>
      </w:r>
      <w:r w:rsidRPr="00E541B6">
        <w:rPr>
          <w:rFonts w:ascii="Times New Roman" w:hAnsi="Times New Roman"/>
          <w:sz w:val="24"/>
          <w:szCs w:val="24"/>
          <w:vertAlign w:val="subscript"/>
        </w:rPr>
        <w:t>(n-1)</w:t>
      </w:r>
      <w:r w:rsidRPr="00E541B6">
        <w:rPr>
          <w:rFonts w:ascii="Times New Roman" w:hAnsi="Times New Roman"/>
          <w:sz w:val="24"/>
          <w:szCs w:val="24"/>
        </w:rPr>
        <w:t>(1+g</w:t>
      </w:r>
      <w:r w:rsidRPr="00E541B6">
        <w:rPr>
          <w:rFonts w:ascii="Times New Roman" w:hAnsi="Times New Roman"/>
          <w:sz w:val="24"/>
          <w:szCs w:val="24"/>
          <w:vertAlign w:val="subscript"/>
        </w:rPr>
        <w:t>n</w:t>
      </w:r>
      <w:r w:rsidRPr="00E541B6">
        <w:rPr>
          <w:rFonts w:ascii="Times New Roman" w:hAnsi="Times New Roman"/>
          <w:sz w:val="24"/>
          <w:szCs w:val="24"/>
        </w:rPr>
        <w:t>)</w:t>
      </w:r>
    </w:p>
    <w:p w14:paraId="352DE6F4" w14:textId="1F71E217" w:rsidR="00994E2A" w:rsidRPr="00E541B6" w:rsidRDefault="00994E2A" w:rsidP="00E541B6">
      <w:pPr>
        <w:pStyle w:val="PlainText"/>
        <w:keepNext/>
        <w:keepLines/>
        <w:ind w:left="450" w:hanging="450"/>
        <w:rPr>
          <w:rFonts w:ascii="Times New Roman" w:hAnsi="Times New Roman"/>
          <w:sz w:val="24"/>
          <w:szCs w:val="24"/>
        </w:rPr>
      </w:pPr>
      <w:r w:rsidRPr="00E541B6">
        <w:rPr>
          <w:rFonts w:ascii="Times New Roman" w:hAnsi="Times New Roman"/>
          <w:sz w:val="24"/>
          <w:szCs w:val="24"/>
        </w:rPr>
        <w:tab/>
      </w:r>
      <w:r w:rsidRPr="00E541B6">
        <w:rPr>
          <w:rFonts w:ascii="Times New Roman" w:hAnsi="Times New Roman"/>
          <w:sz w:val="24"/>
          <w:szCs w:val="24"/>
        </w:rPr>
        <w:tab/>
      </w:r>
      <w:r w:rsidRPr="00E541B6">
        <w:rPr>
          <w:rFonts w:ascii="Times New Roman" w:hAnsi="Times New Roman"/>
          <w:sz w:val="24"/>
          <w:szCs w:val="24"/>
        </w:rPr>
        <w:tab/>
      </w:r>
      <w:r w:rsidR="00E541B6">
        <w:rPr>
          <w:rFonts w:ascii="Times New Roman" w:hAnsi="Times New Roman"/>
          <w:sz w:val="24"/>
          <w:szCs w:val="24"/>
        </w:rPr>
        <w:tab/>
      </w:r>
      <w:r w:rsidR="00E541B6">
        <w:rPr>
          <w:rFonts w:ascii="Times New Roman" w:hAnsi="Times New Roman"/>
          <w:sz w:val="24"/>
          <w:szCs w:val="24"/>
        </w:rPr>
        <w:tab/>
      </w:r>
      <w:r w:rsidRPr="00E541B6">
        <w:rPr>
          <w:rFonts w:ascii="Times New Roman" w:hAnsi="Times New Roman"/>
          <w:sz w:val="24"/>
          <w:szCs w:val="24"/>
        </w:rPr>
        <w:t>P</w:t>
      </w:r>
      <w:r w:rsidRPr="00E541B6">
        <w:rPr>
          <w:rFonts w:ascii="Times New Roman" w:hAnsi="Times New Roman"/>
          <w:sz w:val="24"/>
          <w:szCs w:val="24"/>
          <w:vertAlign w:val="subscript"/>
        </w:rPr>
        <w:t>o</w:t>
      </w:r>
      <w:r w:rsidRPr="00E541B6">
        <w:rPr>
          <w:rFonts w:ascii="Times New Roman" w:hAnsi="Times New Roman"/>
          <w:sz w:val="24"/>
          <w:szCs w:val="24"/>
        </w:rPr>
        <w:t xml:space="preserve"> =  ------------ +  ------------  + . . . + -----------</w:t>
      </w:r>
    </w:p>
    <w:p w14:paraId="3D01FFC0" w14:textId="6DAA98C0" w:rsidR="00994E2A" w:rsidRPr="00E541B6" w:rsidRDefault="00994E2A" w:rsidP="00E541B6">
      <w:pPr>
        <w:pStyle w:val="PlainText"/>
        <w:tabs>
          <w:tab w:val="left" w:pos="2610"/>
          <w:tab w:val="left" w:pos="4230"/>
          <w:tab w:val="left" w:pos="6210"/>
        </w:tabs>
        <w:ind w:left="446" w:hanging="446"/>
        <w:rPr>
          <w:rFonts w:ascii="Times New Roman" w:hAnsi="Times New Roman"/>
          <w:sz w:val="24"/>
          <w:szCs w:val="24"/>
        </w:rPr>
      </w:pPr>
      <w:r w:rsidRPr="00E541B6">
        <w:rPr>
          <w:rFonts w:ascii="Times New Roman" w:hAnsi="Times New Roman"/>
          <w:sz w:val="24"/>
          <w:szCs w:val="24"/>
        </w:rPr>
        <w:t xml:space="preserve">                      (1 + k)</w:t>
      </w:r>
      <w:r w:rsidRPr="00E541B6">
        <w:rPr>
          <w:rFonts w:ascii="Times New Roman" w:hAnsi="Times New Roman"/>
          <w:sz w:val="24"/>
          <w:szCs w:val="24"/>
          <w:vertAlign w:val="superscript"/>
        </w:rPr>
        <w:t>1</w:t>
      </w:r>
      <w:r w:rsidRPr="00E541B6">
        <w:rPr>
          <w:rFonts w:ascii="Times New Roman" w:hAnsi="Times New Roman"/>
          <w:sz w:val="24"/>
          <w:szCs w:val="24"/>
        </w:rPr>
        <w:t xml:space="preserve">       (1 + k)</w:t>
      </w:r>
      <w:r w:rsidRPr="00E541B6">
        <w:rPr>
          <w:rFonts w:ascii="Times New Roman" w:hAnsi="Times New Roman"/>
          <w:sz w:val="24"/>
          <w:szCs w:val="24"/>
          <w:vertAlign w:val="superscript"/>
        </w:rPr>
        <w:t xml:space="preserve">2 </w:t>
      </w:r>
      <w:r w:rsidRPr="00E541B6">
        <w:rPr>
          <w:rFonts w:ascii="Times New Roman" w:hAnsi="Times New Roman"/>
          <w:sz w:val="24"/>
          <w:szCs w:val="24"/>
        </w:rPr>
        <w:t xml:space="preserve">           (1 + k)</w:t>
      </w:r>
      <w:r w:rsidRPr="00E541B6">
        <w:rPr>
          <w:rFonts w:ascii="Times New Roman" w:hAnsi="Times New Roman"/>
          <w:sz w:val="24"/>
          <w:szCs w:val="24"/>
          <w:vertAlign w:val="superscript"/>
        </w:rPr>
        <w:t>n</w:t>
      </w:r>
    </w:p>
    <w:p w14:paraId="10BD2BD0" w14:textId="103920AC" w:rsidR="00994E2A" w:rsidRDefault="00994E2A" w:rsidP="00E541B6">
      <w:pPr>
        <w:pStyle w:val="answer"/>
        <w:tabs>
          <w:tab w:val="clear" w:pos="-3420"/>
          <w:tab w:val="left" w:pos="720"/>
        </w:tabs>
        <w:spacing w:after="0" w:line="480" w:lineRule="atLeast"/>
        <w:ind w:right="0"/>
      </w:pPr>
      <w:r w:rsidRPr="00E541B6">
        <w:tab/>
      </w:r>
      <w:r w:rsidRPr="00E541B6">
        <w:tab/>
        <w:t>where the variables are the same as in the equation in the previous question-and-answer, but there are more subscripts to indicate the different time periods to which the variables apply—e.g.,</w:t>
      </w:r>
      <w:r w:rsidRPr="00E541B6">
        <w:rPr>
          <w:i/>
        </w:rPr>
        <w:t xml:space="preserve"> </w:t>
      </w:r>
      <w:r w:rsidRPr="00E541B6">
        <w:t>g</w:t>
      </w:r>
      <w:r w:rsidRPr="00E541B6">
        <w:rPr>
          <w:vertAlign w:val="subscript"/>
        </w:rPr>
        <w:t>1</w:t>
      </w:r>
      <w:r w:rsidRPr="00E541B6">
        <w:t xml:space="preserve"> represents the growth rate for the first period; D</w:t>
      </w:r>
      <w:r w:rsidRPr="00E541B6">
        <w:rPr>
          <w:vertAlign w:val="subscript"/>
        </w:rPr>
        <w:t xml:space="preserve">2, </w:t>
      </w:r>
      <w:r w:rsidRPr="00E541B6">
        <w:t>the dividend rate for the second period; g</w:t>
      </w:r>
      <w:r w:rsidRPr="00E541B6">
        <w:rPr>
          <w:vertAlign w:val="subscript"/>
        </w:rPr>
        <w:t xml:space="preserve">2 </w:t>
      </w:r>
      <w:r w:rsidRPr="00E541B6">
        <w:t>the growth rate for the second period; and so on.  The “n” subscript represents however many periods are to be included (up to infinity).</w:t>
      </w:r>
    </w:p>
    <w:p w14:paraId="7AA72592" w14:textId="77777777" w:rsidR="00E541B6" w:rsidRPr="00E541B6" w:rsidRDefault="00E541B6" w:rsidP="00E541B6">
      <w:pPr>
        <w:pStyle w:val="answer"/>
        <w:tabs>
          <w:tab w:val="clear" w:pos="-3420"/>
          <w:tab w:val="left" w:pos="720"/>
        </w:tabs>
        <w:spacing w:after="0" w:line="240" w:lineRule="auto"/>
        <w:ind w:right="0"/>
      </w:pPr>
    </w:p>
    <w:p w14:paraId="444693D8" w14:textId="77777777" w:rsidR="00994E2A" w:rsidRPr="00E541B6" w:rsidRDefault="00994E2A" w:rsidP="00E541B6">
      <w:pPr>
        <w:pStyle w:val="question"/>
        <w:numPr>
          <w:ilvl w:val="0"/>
          <w:numId w:val="46"/>
        </w:numPr>
        <w:spacing w:line="480" w:lineRule="atLeast"/>
        <w:ind w:left="720" w:hanging="720"/>
      </w:pPr>
      <w:r w:rsidRPr="00E541B6">
        <w:t>What prices did you use for your DCF analyses?</w:t>
      </w:r>
    </w:p>
    <w:p w14:paraId="62A291AB" w14:textId="30914A67" w:rsidR="00994E2A"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 xml:space="preserve">As shown on Attachment </w:t>
      </w:r>
      <w:r w:rsidR="00E541B6">
        <w:t>ES-5</w:t>
      </w:r>
      <w:r w:rsidRPr="00E541B6">
        <w:t xml:space="preserve">, I used stock prices that are an average of weekly prices over a recent 12-week period.  The 12-week period is both long enough to smooth out stock market fluctuations and provide an assessment of long-term expectations, and short enough </w:t>
      </w:r>
      <w:r w:rsidRPr="00E541B6">
        <w:lastRenderedPageBreak/>
        <w:t>to capture the impact of current information on market perceptions of risk, earnings growth, and dividend growth.  Twelve weeks is a reasonable period of time to balance capturing the benefits of both these goals.</w:t>
      </w:r>
    </w:p>
    <w:p w14:paraId="50E02BFE" w14:textId="77777777" w:rsidR="00E541B6" w:rsidRPr="00E541B6" w:rsidRDefault="00E541B6" w:rsidP="00E541B6">
      <w:pPr>
        <w:pStyle w:val="answer"/>
        <w:tabs>
          <w:tab w:val="clear" w:pos="-3420"/>
          <w:tab w:val="clear" w:pos="360"/>
          <w:tab w:val="left" w:pos="720"/>
        </w:tabs>
        <w:spacing w:after="0" w:line="240" w:lineRule="auto"/>
        <w:ind w:right="0" w:firstLine="0"/>
      </w:pPr>
    </w:p>
    <w:p w14:paraId="11BB42E9" w14:textId="77777777" w:rsidR="00994E2A" w:rsidRPr="00E541B6" w:rsidRDefault="00994E2A" w:rsidP="00E541B6">
      <w:pPr>
        <w:pStyle w:val="question"/>
        <w:numPr>
          <w:ilvl w:val="0"/>
          <w:numId w:val="46"/>
        </w:numPr>
        <w:spacing w:line="480" w:lineRule="atLeast"/>
        <w:ind w:left="720" w:hanging="720"/>
      </w:pPr>
      <w:r w:rsidRPr="00E541B6">
        <w:t>What versions of the DCF model did you use in your analysis?</w:t>
      </w:r>
    </w:p>
    <w:p w14:paraId="5802ACCD" w14:textId="2025D9CF" w:rsidR="00994E2A"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I used both a single-stage version and a multistage version of the DCF model.  In the single-stage version, the stock’s dividend growth is based on analysts’ estimates of the utility’s earnings growth over the next five years.  In the multistage version of the DCF model, I used a two-stage growth approach.  The first stage in this version covers five years and uses the same analysts’ estimates that I used in the single-stage version.  The second stage, which covers years six through 150, is based on a 5.13% projected long-term growth in Gross Domestic Product (GDP), as discussed below.</w:t>
      </w:r>
    </w:p>
    <w:p w14:paraId="6721AF64" w14:textId="77777777" w:rsidR="00E541B6" w:rsidRPr="00E541B6" w:rsidRDefault="00E541B6" w:rsidP="00E541B6">
      <w:pPr>
        <w:pStyle w:val="answer"/>
        <w:tabs>
          <w:tab w:val="clear" w:pos="-3420"/>
          <w:tab w:val="clear" w:pos="360"/>
          <w:tab w:val="left" w:pos="720"/>
        </w:tabs>
        <w:spacing w:after="0" w:line="240" w:lineRule="auto"/>
        <w:ind w:right="0" w:firstLine="0"/>
      </w:pPr>
    </w:p>
    <w:p w14:paraId="79AC0B3D" w14:textId="77777777" w:rsidR="00994E2A" w:rsidRPr="00E541B6" w:rsidRDefault="00994E2A" w:rsidP="00E541B6">
      <w:pPr>
        <w:pStyle w:val="question"/>
        <w:numPr>
          <w:ilvl w:val="0"/>
          <w:numId w:val="46"/>
        </w:numPr>
        <w:spacing w:line="480" w:lineRule="atLeast"/>
        <w:ind w:left="720" w:hanging="720"/>
      </w:pPr>
      <w:r w:rsidRPr="00E541B6">
        <w:t>Why did you use two versions of the DCF model?</w:t>
      </w:r>
    </w:p>
    <w:p w14:paraId="58380A09" w14:textId="6740CE57" w:rsidR="00994E2A"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 xml:space="preserve">I used two versions of the DCF model because each model is reasonable in its own right and therefore likely to be used by investors.  By blending the two, I more closely approximate the expectations of investors on average than if I were to use either one alone. </w:t>
      </w:r>
    </w:p>
    <w:p w14:paraId="3C38BB78" w14:textId="77777777" w:rsidR="00E541B6" w:rsidRPr="00E541B6" w:rsidRDefault="00E541B6" w:rsidP="00E541B6">
      <w:pPr>
        <w:pStyle w:val="answer"/>
        <w:tabs>
          <w:tab w:val="clear" w:pos="-3420"/>
          <w:tab w:val="clear" w:pos="360"/>
          <w:tab w:val="left" w:pos="720"/>
        </w:tabs>
        <w:spacing w:after="0" w:line="240" w:lineRule="auto"/>
        <w:ind w:right="0" w:firstLine="0"/>
      </w:pPr>
    </w:p>
    <w:p w14:paraId="78E5E43E" w14:textId="77777777" w:rsidR="00994E2A" w:rsidRPr="00E541B6" w:rsidRDefault="00994E2A" w:rsidP="00E541B6">
      <w:pPr>
        <w:pStyle w:val="question"/>
        <w:numPr>
          <w:ilvl w:val="0"/>
          <w:numId w:val="46"/>
        </w:numPr>
        <w:spacing w:line="480" w:lineRule="atLeast"/>
        <w:ind w:left="720" w:hanging="720"/>
      </w:pPr>
      <w:r w:rsidRPr="00E541B6">
        <w:t>What are the key assumptions underlying the DCF model?</w:t>
      </w:r>
    </w:p>
    <w:p w14:paraId="26720AB9" w14:textId="6C05E3B1" w:rsidR="00994E2A" w:rsidRDefault="00994E2A" w:rsidP="00E541B6">
      <w:pPr>
        <w:pStyle w:val="answer"/>
        <w:tabs>
          <w:tab w:val="clear" w:pos="-3420"/>
          <w:tab w:val="left" w:pos="720"/>
        </w:tabs>
        <w:spacing w:after="0" w:line="480" w:lineRule="atLeast"/>
        <w:ind w:right="0"/>
      </w:pPr>
      <w:r w:rsidRPr="00E541B6">
        <w:t>A.</w:t>
      </w:r>
      <w:r w:rsidRPr="00E541B6">
        <w:tab/>
      </w:r>
      <w:r w:rsidRPr="00E541B6">
        <w:tab/>
        <w:t>The model rests on three principal assumptions.  First, investors evaluate the expected risk and expected cash flows of all securities in the capital markets and, through the trading process, adjust the price of each security so that the expected return is commensurate with the expected risk.  Second, investors discount the expected cash flows at the same rate—</w:t>
      </w:r>
      <w:r w:rsidRPr="00E541B6">
        <w:rPr>
          <w:i/>
        </w:rPr>
        <w:t>k</w:t>
      </w:r>
      <w:r w:rsidRPr="00E541B6">
        <w:t xml:space="preserve">—in every future period.  Third, dividends, rather than earnings </w:t>
      </w:r>
      <w:r w:rsidRPr="00E541B6">
        <w:rPr>
          <w:i/>
        </w:rPr>
        <w:t>per se</w:t>
      </w:r>
      <w:r w:rsidRPr="00E541B6">
        <w:t xml:space="preserve">, constitute the source of value for a share of stock.  Absent a sale of the stock, dividends are the only cash flows received by investors.  The earnings of the company that issued the stock, however, </w:t>
      </w:r>
      <w:r w:rsidRPr="00E541B6">
        <w:lastRenderedPageBreak/>
        <w:t xml:space="preserve">are critical because they make it possible to pay dividends, and the level of earnings ultimately determines the level of growth in the company and the growth in dividends over time. </w:t>
      </w:r>
    </w:p>
    <w:p w14:paraId="38FCDD6F" w14:textId="77777777" w:rsidR="00E541B6" w:rsidRPr="00E541B6" w:rsidRDefault="00E541B6" w:rsidP="00E541B6">
      <w:pPr>
        <w:pStyle w:val="answer"/>
        <w:tabs>
          <w:tab w:val="clear" w:pos="-3420"/>
          <w:tab w:val="left" w:pos="720"/>
        </w:tabs>
        <w:spacing w:after="0" w:line="240" w:lineRule="auto"/>
        <w:ind w:right="0"/>
      </w:pPr>
    </w:p>
    <w:p w14:paraId="001219C7" w14:textId="77777777" w:rsidR="00994E2A" w:rsidRPr="00E541B6" w:rsidRDefault="00994E2A" w:rsidP="00E541B6">
      <w:pPr>
        <w:pStyle w:val="question"/>
        <w:numPr>
          <w:ilvl w:val="0"/>
          <w:numId w:val="46"/>
        </w:numPr>
        <w:spacing w:line="480" w:lineRule="atLeast"/>
        <w:ind w:left="720" w:hanging="720"/>
      </w:pPr>
      <w:r w:rsidRPr="00E541B6">
        <w:t>Please describe the growth component of the DCF model.</w:t>
      </w:r>
    </w:p>
    <w:p w14:paraId="438A61A2" w14:textId="77777777" w:rsidR="00E541B6" w:rsidRDefault="00994E2A" w:rsidP="00E541B6">
      <w:pPr>
        <w:pStyle w:val="answer"/>
        <w:tabs>
          <w:tab w:val="clear" w:pos="-3420"/>
          <w:tab w:val="left" w:pos="720"/>
        </w:tabs>
        <w:spacing w:after="0" w:line="480" w:lineRule="atLeast"/>
        <w:ind w:right="0"/>
      </w:pPr>
      <w:r w:rsidRPr="00E541B6">
        <w:t>A.</w:t>
      </w:r>
      <w:r w:rsidRPr="00E541B6">
        <w:tab/>
      </w:r>
      <w:r w:rsidRPr="00E541B6">
        <w:tab/>
        <w:t xml:space="preserve">Because of the relationship between sustainable earnings growth and dividend growth, the growth rate commonly used in the DCF is the earnings growth of the company whose cost of equity is being estimated.  Estimates of earnings growth are appropriate because the issue is not the rate at which the firm will actually grow (which is primarily a function of economic conditions, management ability, regulatory environment, etc.), but rather the growth expectation that investors have embodied in the current price of the stock. </w:t>
      </w:r>
    </w:p>
    <w:p w14:paraId="51738E1B" w14:textId="6D35C9C4" w:rsidR="00994E2A" w:rsidRPr="00E541B6" w:rsidRDefault="00994E2A" w:rsidP="00E541B6">
      <w:pPr>
        <w:pStyle w:val="answer"/>
        <w:tabs>
          <w:tab w:val="clear" w:pos="-3420"/>
          <w:tab w:val="left" w:pos="720"/>
        </w:tabs>
        <w:spacing w:after="0" w:line="240" w:lineRule="auto"/>
        <w:ind w:right="0"/>
      </w:pPr>
      <w:r w:rsidRPr="00E541B6">
        <w:t xml:space="preserve"> </w:t>
      </w:r>
    </w:p>
    <w:p w14:paraId="591F7F18" w14:textId="77777777" w:rsidR="00994E2A" w:rsidRPr="00E541B6" w:rsidRDefault="00994E2A" w:rsidP="00E541B6">
      <w:pPr>
        <w:pStyle w:val="question"/>
        <w:numPr>
          <w:ilvl w:val="0"/>
          <w:numId w:val="46"/>
        </w:numPr>
        <w:spacing w:line="480" w:lineRule="atLeast"/>
        <w:ind w:left="720" w:hanging="720"/>
      </w:pPr>
      <w:r w:rsidRPr="00E541B6">
        <w:t>Is it possible to know what expected earnings growth rate is actually embodied in the price of a stock?</w:t>
      </w:r>
    </w:p>
    <w:p w14:paraId="285BA8AB" w14:textId="42884955" w:rsidR="00994E2A"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No.  There is no objective way to precisely determine the growth rate expected by a consensus of investors.  No matter what technique is used, the best that can be said o</w:t>
      </w:r>
      <w:r w:rsidR="00FE24D6">
        <w:t>f</w:t>
      </w:r>
      <w:r w:rsidRPr="00E541B6">
        <w:t xml:space="preserve"> any estimate developed by a rate-of-return analyst is that it is a reasonable proxy for investors’ consensus expectations about growth.</w:t>
      </w:r>
    </w:p>
    <w:p w14:paraId="22C04E3D" w14:textId="77777777" w:rsidR="00E541B6" w:rsidRPr="00E541B6" w:rsidRDefault="00E541B6" w:rsidP="00E541B6">
      <w:pPr>
        <w:pStyle w:val="answer"/>
        <w:tabs>
          <w:tab w:val="clear" w:pos="-3420"/>
          <w:tab w:val="clear" w:pos="360"/>
          <w:tab w:val="left" w:pos="720"/>
        </w:tabs>
        <w:spacing w:after="0" w:line="240" w:lineRule="auto"/>
        <w:ind w:right="0" w:firstLine="0"/>
      </w:pPr>
    </w:p>
    <w:p w14:paraId="5F625FA4" w14:textId="77777777" w:rsidR="00994E2A" w:rsidRPr="00E541B6" w:rsidRDefault="00994E2A" w:rsidP="00E541B6">
      <w:pPr>
        <w:pStyle w:val="question"/>
        <w:numPr>
          <w:ilvl w:val="0"/>
          <w:numId w:val="46"/>
        </w:numPr>
        <w:spacing w:line="480" w:lineRule="atLeast"/>
        <w:ind w:left="720" w:hanging="720"/>
      </w:pPr>
      <w:r w:rsidRPr="00E541B6">
        <w:t>What estimates for the growth expectations of investors did you use in your DCF analyses?</w:t>
      </w:r>
    </w:p>
    <w:p w14:paraId="5BFC0745" w14:textId="77777777" w:rsidR="00994E2A" w:rsidRPr="00E541B6"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 xml:space="preserve">I relied upon Value Line and Zacks for the earnings growth rates in the single-stage DCF model and the first stage of the multistage DCF model.  I used Value Line because it is one of the nation’s largest independent investment research services, as well as a major money </w:t>
      </w:r>
      <w:r w:rsidRPr="00E541B6">
        <w:lastRenderedPageBreak/>
        <w:t>management institution,</w:t>
      </w:r>
      <w:r w:rsidRPr="00E541B6">
        <w:rPr>
          <w:rStyle w:val="FootnoteReference"/>
        </w:rPr>
        <w:footnoteReference w:id="8"/>
      </w:r>
      <w:r w:rsidRPr="00E541B6">
        <w:t xml:space="preserve"> and I included Zacks because it compiles consensus earnings forecasts from groups of professional security analysts. </w:t>
      </w:r>
    </w:p>
    <w:p w14:paraId="6EAFC319" w14:textId="7B224306" w:rsidR="00994E2A" w:rsidRDefault="00994E2A" w:rsidP="00E541B6">
      <w:pPr>
        <w:pStyle w:val="additionalparagraph"/>
        <w:spacing w:line="480" w:lineRule="atLeast"/>
        <w:ind w:right="0"/>
      </w:pPr>
      <w:r w:rsidRPr="00E541B6">
        <w:t>For the second stage of the multistage DCF model, I used an expected long-run nominal growth rate of 5.13%, consisting of the 3.13% per year average real growth-rate of GDP for the period 195</w:t>
      </w:r>
      <w:r w:rsidR="00732777">
        <w:t>1</w:t>
      </w:r>
      <w:r w:rsidRPr="00E541B6">
        <w:t xml:space="preserve"> through 2020 as calculated from data reported by the U.S. Bureau of Economic Analysis,</w:t>
      </w:r>
      <w:r w:rsidRPr="00E541B6">
        <w:rPr>
          <w:rStyle w:val="FootnoteReference"/>
        </w:rPr>
        <w:footnoteReference w:id="9"/>
      </w:r>
      <w:r w:rsidRPr="00E541B6">
        <w:t xml:space="preserve"> and the 2.00% rate of inflation forecast by the Board of Governors of the Federal Reserve System in its most recent estimate.</w:t>
      </w:r>
      <w:r w:rsidRPr="00E541B6">
        <w:rPr>
          <w:rStyle w:val="FootnoteReference"/>
        </w:rPr>
        <w:footnoteReference w:id="10"/>
      </w:r>
      <w:r w:rsidRPr="00E541B6">
        <w:t xml:space="preserve">  These are widely disseminated data that are generally considered credible by investors. </w:t>
      </w:r>
    </w:p>
    <w:p w14:paraId="6C722AA6" w14:textId="77777777" w:rsidR="00732777" w:rsidRPr="00E541B6" w:rsidRDefault="00732777" w:rsidP="00732777">
      <w:pPr>
        <w:pStyle w:val="additionalparagraph"/>
        <w:spacing w:line="240" w:lineRule="auto"/>
        <w:ind w:right="0"/>
      </w:pPr>
    </w:p>
    <w:p w14:paraId="67DC7889" w14:textId="77777777" w:rsidR="00994E2A" w:rsidRPr="00E541B6" w:rsidRDefault="00994E2A" w:rsidP="00E541B6">
      <w:pPr>
        <w:pStyle w:val="question"/>
        <w:numPr>
          <w:ilvl w:val="0"/>
          <w:numId w:val="46"/>
        </w:numPr>
        <w:spacing w:line="480" w:lineRule="atLeast"/>
        <w:ind w:left="720" w:hanging="720"/>
      </w:pPr>
      <w:r w:rsidRPr="00E541B6">
        <w:t xml:space="preserve">Why do you use a consensus forecast from professional security analysts rather than historical data as a proxy for investor expectations of growth? </w:t>
      </w:r>
    </w:p>
    <w:p w14:paraId="100913B0" w14:textId="77777777" w:rsidR="00994E2A" w:rsidRPr="00E541B6"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There are several reasons why I use professional security analysts’ forecasts instead of historical data.  First, the cost of equity is a forward-looking concept, and security analysts use extensive and sophisticated financial models to forecast growth rates.  To the extent that historical growth rates for dividends, earnings, and book values are relevant to future growth, they are already incorporated into these forecasts.  In addition, other pertinent information—such as general economic projections and the impact of new legislation, regulatory actions, and technological advancements—is factored into the projections made by investment advisory firms, providing a more comprehensive estimate and reflecting a broader base of relevant information.</w:t>
      </w:r>
    </w:p>
    <w:p w14:paraId="4744FA57" w14:textId="77777777" w:rsidR="00994E2A" w:rsidRPr="00E541B6" w:rsidRDefault="00994E2A" w:rsidP="00E541B6">
      <w:pPr>
        <w:pStyle w:val="PlainText"/>
        <w:spacing w:line="480" w:lineRule="atLeast"/>
        <w:ind w:left="720" w:firstLine="720"/>
        <w:jc w:val="both"/>
        <w:rPr>
          <w:rFonts w:ascii="Times New Roman" w:hAnsi="Times New Roman"/>
          <w:sz w:val="24"/>
          <w:szCs w:val="24"/>
        </w:rPr>
      </w:pPr>
      <w:r w:rsidRPr="00E541B6">
        <w:rPr>
          <w:rFonts w:ascii="Times New Roman" w:hAnsi="Times New Roman"/>
          <w:sz w:val="24"/>
          <w:szCs w:val="24"/>
        </w:rPr>
        <w:lastRenderedPageBreak/>
        <w:t>Second, it is not plausible to assume that the large institutional investors who dominate stock trading use valuation techniques based on the assumption that historical trends in earnings and dividends will simply be repeated.  These institutions pay substantial amounts of money to investment services such as Value Line for information that includes earnings forecasts.  The substantial payment suggests that these investors consider the information valuable and actually use it when making investment decisions.</w:t>
      </w:r>
    </w:p>
    <w:p w14:paraId="3C44A64F" w14:textId="5B736046" w:rsidR="00994E2A" w:rsidRDefault="00994E2A" w:rsidP="00E541B6">
      <w:pPr>
        <w:pStyle w:val="PlainText"/>
        <w:spacing w:line="480" w:lineRule="atLeast"/>
        <w:ind w:left="720" w:firstLine="720"/>
        <w:jc w:val="both"/>
        <w:rPr>
          <w:rFonts w:ascii="Times New Roman" w:hAnsi="Times New Roman"/>
          <w:sz w:val="24"/>
          <w:szCs w:val="24"/>
        </w:rPr>
      </w:pPr>
      <w:r w:rsidRPr="00E541B6">
        <w:rPr>
          <w:rFonts w:ascii="Times New Roman" w:hAnsi="Times New Roman"/>
          <w:sz w:val="24"/>
          <w:szCs w:val="24"/>
        </w:rPr>
        <w:t>Third, empirical academic research by authorities such as Dr. Myron Gordon, the originator of the Gordon dividend growth model described earlier, has shown that consensus forecasts from professional security analysts do a better job of predicting the valuation of common stocks than mechanically derived forecasts from historical data.</w:t>
      </w:r>
    </w:p>
    <w:p w14:paraId="74415277" w14:textId="77777777" w:rsidR="00732777" w:rsidRPr="00E541B6" w:rsidRDefault="00732777" w:rsidP="00732777">
      <w:pPr>
        <w:pStyle w:val="PlainText"/>
        <w:ind w:left="720" w:firstLine="720"/>
        <w:jc w:val="both"/>
        <w:rPr>
          <w:rFonts w:ascii="Times New Roman" w:hAnsi="Times New Roman"/>
          <w:sz w:val="24"/>
          <w:szCs w:val="24"/>
        </w:rPr>
      </w:pPr>
    </w:p>
    <w:p w14:paraId="30AD0236" w14:textId="77777777" w:rsidR="00994E2A" w:rsidRPr="00E541B6" w:rsidRDefault="00994E2A" w:rsidP="00E541B6">
      <w:pPr>
        <w:pStyle w:val="question"/>
        <w:numPr>
          <w:ilvl w:val="0"/>
          <w:numId w:val="46"/>
        </w:numPr>
        <w:spacing w:line="480" w:lineRule="atLeast"/>
        <w:ind w:left="720" w:hanging="720"/>
      </w:pPr>
      <w:r w:rsidRPr="00E541B6">
        <w:t>What are the results of your DCF analyses?</w:t>
      </w:r>
    </w:p>
    <w:p w14:paraId="783A9F77" w14:textId="0F7E011F" w:rsidR="00994E2A" w:rsidRDefault="00994E2A" w:rsidP="00E541B6">
      <w:pPr>
        <w:pStyle w:val="answer"/>
        <w:numPr>
          <w:ilvl w:val="0"/>
          <w:numId w:val="38"/>
        </w:numPr>
        <w:tabs>
          <w:tab w:val="clear" w:pos="360"/>
          <w:tab w:val="num" w:pos="-3420"/>
          <w:tab w:val="left" w:pos="720"/>
        </w:tabs>
        <w:spacing w:after="0" w:line="480" w:lineRule="atLeast"/>
        <w:ind w:left="720" w:right="0" w:hanging="720"/>
      </w:pPr>
      <w:r w:rsidRPr="00E541B6">
        <w:t xml:space="preserve">Attachment </w:t>
      </w:r>
      <w:r w:rsidR="00732777">
        <w:t>ES-6</w:t>
      </w:r>
      <w:r w:rsidRPr="00E541B6">
        <w:t xml:space="preserve"> shows recent stock price averages and forecasted dividends for companies in the comparable group; these data feed into the single-stage DCF and multistage DCF calculations in Attachment </w:t>
      </w:r>
      <w:r w:rsidR="00732777">
        <w:t>ES</w:t>
      </w:r>
      <w:r w:rsidRPr="00E541B6">
        <w:t>-</w:t>
      </w:r>
      <w:r w:rsidR="00732777">
        <w:t>7</w:t>
      </w:r>
      <w:r w:rsidRPr="00E541B6">
        <w:t xml:space="preserve"> and Attachment </w:t>
      </w:r>
      <w:r w:rsidR="00732777">
        <w:t>ES</w:t>
      </w:r>
      <w:r w:rsidRPr="00E541B6">
        <w:t>-</w:t>
      </w:r>
      <w:r w:rsidR="00732777">
        <w:t>8</w:t>
      </w:r>
      <w:r w:rsidRPr="00E541B6">
        <w:t xml:space="preserve">, respectively.  Attachment </w:t>
      </w:r>
      <w:r w:rsidR="00732777">
        <w:t>ES</w:t>
      </w:r>
      <w:r w:rsidRPr="00E541B6">
        <w:t>-</w:t>
      </w:r>
      <w:r w:rsidR="00732777">
        <w:t>7</w:t>
      </w:r>
      <w:r w:rsidRPr="00E541B6">
        <w:t xml:space="preserve"> includes a summary of the results of my single-stage DCF analysis.  Using the average of earnings growth rates projected by Value Line and, where applicable, those projected by Zacks, the estimates for the unadjusted comparable companies yield an average cost of equity of </w:t>
      </w:r>
      <w:r w:rsidR="00732777">
        <w:t>9.1</w:t>
      </w:r>
      <w:r w:rsidR="00C53BBB">
        <w:t>6</w:t>
      </w:r>
      <w:r w:rsidRPr="00E541B6">
        <w:t>%</w:t>
      </w:r>
      <w:r w:rsidR="00732777">
        <w:t>, as shown on Attachment ES-7.</w:t>
      </w:r>
      <w:r w:rsidRPr="00E541B6">
        <w:t xml:space="preserve">  The multistage DCF yields a cost-of-equity estimate with an average of 8.</w:t>
      </w:r>
      <w:r w:rsidR="00732777">
        <w:t>62</w:t>
      </w:r>
      <w:r w:rsidRPr="00E541B6">
        <w:t>%</w:t>
      </w:r>
      <w:r w:rsidR="00732777">
        <w:t>, as shown on Attachment ES-8</w:t>
      </w:r>
      <w:r w:rsidRPr="00E541B6">
        <w:t xml:space="preserve">.  </w:t>
      </w:r>
    </w:p>
    <w:p w14:paraId="3B960477" w14:textId="77777777" w:rsidR="00732777" w:rsidRPr="00E541B6" w:rsidRDefault="00732777" w:rsidP="00732777">
      <w:pPr>
        <w:pStyle w:val="answer"/>
        <w:tabs>
          <w:tab w:val="clear" w:pos="-3420"/>
          <w:tab w:val="clear" w:pos="360"/>
          <w:tab w:val="left" w:pos="720"/>
        </w:tabs>
        <w:spacing w:after="0" w:line="240" w:lineRule="auto"/>
        <w:ind w:right="0" w:firstLine="0"/>
      </w:pPr>
    </w:p>
    <w:p w14:paraId="020CD705" w14:textId="77777777" w:rsidR="00204A6E" w:rsidRDefault="00204A6E" w:rsidP="00732777">
      <w:pPr>
        <w:pStyle w:val="answer"/>
        <w:tabs>
          <w:tab w:val="clear" w:pos="-3420"/>
          <w:tab w:val="clear" w:pos="360"/>
          <w:tab w:val="left" w:pos="720"/>
        </w:tabs>
        <w:spacing w:after="0" w:line="240" w:lineRule="auto"/>
        <w:ind w:left="0" w:right="0" w:firstLine="0"/>
      </w:pPr>
    </w:p>
    <w:p w14:paraId="58F6E027" w14:textId="0FFF17CD" w:rsidR="009A7419" w:rsidRPr="001E3ADD" w:rsidRDefault="009C579C" w:rsidP="00204A6E">
      <w:pPr>
        <w:pStyle w:val="Heading2"/>
        <w:spacing w:line="480" w:lineRule="exact"/>
      </w:pPr>
      <w:bookmarkStart w:id="8" w:name="_Toc85035565"/>
      <w:r>
        <w:t xml:space="preserve">CONVENTIONAL </w:t>
      </w:r>
      <w:r w:rsidR="009A7419" w:rsidRPr="001E3ADD">
        <w:t>RISK-PREMIUM</w:t>
      </w:r>
      <w:bookmarkEnd w:id="8"/>
    </w:p>
    <w:p w14:paraId="2EE5C3FF" w14:textId="77777777" w:rsidR="00732777" w:rsidRPr="004F79E5" w:rsidRDefault="00732777" w:rsidP="00732777">
      <w:pPr>
        <w:pStyle w:val="question"/>
        <w:numPr>
          <w:ilvl w:val="0"/>
          <w:numId w:val="46"/>
        </w:numPr>
        <w:spacing w:line="480" w:lineRule="atLeast"/>
        <w:ind w:left="720" w:hanging="720"/>
      </w:pPr>
      <w:r w:rsidRPr="004F79E5">
        <w:t xml:space="preserve">Please describe the general methodology of </w:t>
      </w:r>
      <w:r>
        <w:t>your risk-premium</w:t>
      </w:r>
      <w:r w:rsidRPr="004F79E5">
        <w:t xml:space="preserve"> analys</w:t>
      </w:r>
      <w:r>
        <w:t>i</w:t>
      </w:r>
      <w:r w:rsidRPr="004F79E5">
        <w:t>s.</w:t>
      </w:r>
    </w:p>
    <w:p w14:paraId="3F9CD1BF" w14:textId="1B98E9E6" w:rsidR="00732777" w:rsidRDefault="00732777" w:rsidP="00732777">
      <w:pPr>
        <w:pStyle w:val="answer"/>
        <w:numPr>
          <w:ilvl w:val="0"/>
          <w:numId w:val="38"/>
        </w:numPr>
        <w:tabs>
          <w:tab w:val="clear" w:pos="360"/>
          <w:tab w:val="num" w:pos="-3420"/>
          <w:tab w:val="left" w:pos="720"/>
        </w:tabs>
        <w:spacing w:after="0" w:line="480" w:lineRule="atLeast"/>
        <w:ind w:left="720" w:right="0" w:hanging="720"/>
      </w:pPr>
      <w:r>
        <w:t>Because</w:t>
      </w:r>
      <w:r w:rsidRPr="004F79E5">
        <w:t xml:space="preserve"> the cost of equity is not dire</w:t>
      </w:r>
      <w:r>
        <w:t>ctly observable, estimates for it</w:t>
      </w:r>
      <w:r w:rsidRPr="004F79E5">
        <w:t xml:space="preserve"> may be de</w:t>
      </w:r>
      <w:r>
        <w:t xml:space="preserve">rived by examining bond yields, </w:t>
      </w:r>
      <w:r w:rsidRPr="004F79E5">
        <w:t>which are readily observable</w:t>
      </w:r>
      <w:r>
        <w:t>,</w:t>
      </w:r>
      <w:r w:rsidRPr="004F79E5">
        <w:t xml:space="preserve"> and adding a premium to compensate </w:t>
      </w:r>
      <w:r w:rsidRPr="004F79E5">
        <w:lastRenderedPageBreak/>
        <w:t>for the additional risk assumed to exist in equity investments</w:t>
      </w:r>
      <w:r>
        <w:t xml:space="preserve">.  </w:t>
      </w:r>
      <w:r w:rsidRPr="004F79E5">
        <w:t xml:space="preserve">Equity investments have traditionally been viewed as being riskier than debt investments </w:t>
      </w:r>
      <w:r w:rsidRPr="002B5A56">
        <w:t>because</w:t>
      </w:r>
      <w:r w:rsidRPr="004F79E5">
        <w:t xml:space="preserve"> stockholder payments are not contractually defined and because debt holders </w:t>
      </w:r>
      <w:r>
        <w:t xml:space="preserve">generally </w:t>
      </w:r>
      <w:r w:rsidRPr="004F79E5">
        <w:t xml:space="preserve">have a </w:t>
      </w:r>
      <w:r>
        <w:t>senior</w:t>
      </w:r>
      <w:r w:rsidRPr="004F79E5">
        <w:t xml:space="preserve"> claim on the assets of a firm if </w:t>
      </w:r>
      <w:r>
        <w:t xml:space="preserve">it declares bankruptcy.  </w:t>
      </w:r>
      <w:r w:rsidRPr="004F79E5">
        <w:t xml:space="preserve">The yields on long-term bonds are typically used in </w:t>
      </w:r>
      <w:r>
        <w:t>risk-premium</w:t>
      </w:r>
      <w:r w:rsidRPr="004F79E5">
        <w:t xml:space="preserve"> analyses </w:t>
      </w:r>
      <w:r>
        <w:t>because</w:t>
      </w:r>
      <w:r w:rsidRPr="004F79E5">
        <w:t xml:space="preserve"> equity investments are usually thought of as long-term investments</w:t>
      </w:r>
      <w:r>
        <w:t>.  Because</w:t>
      </w:r>
      <w:r w:rsidRPr="004F79E5">
        <w:t xml:space="preserve"> the holding periods for these investments are assumed to be similar, the inflation expectations built into long-term bond yields should also be applicable to equity investments.</w:t>
      </w:r>
    </w:p>
    <w:p w14:paraId="5451CBC2" w14:textId="77777777" w:rsidR="00732777" w:rsidRPr="004F79E5" w:rsidRDefault="00732777" w:rsidP="00732777">
      <w:pPr>
        <w:pStyle w:val="answer"/>
        <w:tabs>
          <w:tab w:val="clear" w:pos="-3420"/>
          <w:tab w:val="clear" w:pos="360"/>
          <w:tab w:val="left" w:pos="720"/>
        </w:tabs>
        <w:spacing w:after="0" w:line="240" w:lineRule="auto"/>
        <w:ind w:right="0" w:firstLine="0"/>
      </w:pPr>
    </w:p>
    <w:p w14:paraId="7E276A7E" w14:textId="77777777" w:rsidR="00732777" w:rsidRPr="004F79E5" w:rsidRDefault="00732777" w:rsidP="00732777">
      <w:pPr>
        <w:pStyle w:val="question"/>
        <w:numPr>
          <w:ilvl w:val="0"/>
          <w:numId w:val="46"/>
        </w:numPr>
        <w:spacing w:line="480" w:lineRule="atLeast"/>
        <w:ind w:left="720" w:hanging="720"/>
      </w:pPr>
      <w:r w:rsidRPr="004F79E5">
        <w:t xml:space="preserve">Are equity </w:t>
      </w:r>
      <w:r>
        <w:t>risk premium</w:t>
      </w:r>
      <w:r w:rsidRPr="004F79E5">
        <w:t>s stable over time, or do they vary with capital market conditions?</w:t>
      </w:r>
    </w:p>
    <w:p w14:paraId="492D695F" w14:textId="77777777" w:rsidR="00732777" w:rsidRDefault="00732777" w:rsidP="00732777">
      <w:pPr>
        <w:pStyle w:val="answer"/>
        <w:numPr>
          <w:ilvl w:val="0"/>
          <w:numId w:val="38"/>
        </w:numPr>
        <w:tabs>
          <w:tab w:val="clear" w:pos="360"/>
          <w:tab w:val="num" w:pos="-3420"/>
          <w:tab w:val="left" w:pos="720"/>
        </w:tabs>
        <w:spacing w:after="0" w:line="480" w:lineRule="atLeast"/>
        <w:ind w:left="720" w:right="0" w:hanging="720"/>
      </w:pPr>
      <w:r w:rsidRPr="004F79E5">
        <w:t xml:space="preserve">Several empirical studies have demonstrated that equity </w:t>
      </w:r>
      <w:r>
        <w:t>risk premium</w:t>
      </w:r>
      <w:r w:rsidRPr="004F79E5">
        <w:t>s vary over time as changes occur in the capital markets</w:t>
      </w:r>
      <w:r>
        <w:t xml:space="preserve">.  </w:t>
      </w:r>
      <w:r w:rsidRPr="004F79E5">
        <w:t xml:space="preserve">In addition, it is reasonable to expect the equity </w:t>
      </w:r>
      <w:r>
        <w:t>risk premium</w:t>
      </w:r>
      <w:r w:rsidRPr="004F79E5">
        <w:t xml:space="preserve"> for a particular company to change as the specific risks facing a company change over time</w:t>
      </w:r>
      <w:r>
        <w:t xml:space="preserve">.  </w:t>
      </w:r>
      <w:r w:rsidRPr="004F79E5">
        <w:t xml:space="preserve">With regard to the influence of capital market conditions, several studies have identified an inverse relationship between the level of interest rates and the size of equity </w:t>
      </w:r>
      <w:r>
        <w:t>risk premium</w:t>
      </w:r>
      <w:r w:rsidRPr="004F79E5">
        <w:t>s</w:t>
      </w:r>
      <w:r>
        <w:t xml:space="preserve">.  </w:t>
      </w:r>
      <w:r w:rsidRPr="004F79E5">
        <w:t>One explanation for this phenomenon is the differential impact of inflation on debt and equity investments</w:t>
      </w:r>
      <w:r>
        <w:t>.  Because</w:t>
      </w:r>
      <w:r w:rsidRPr="004F79E5">
        <w:t xml:space="preserve"> bond</w:t>
      </w:r>
      <w:r>
        <w:t xml:space="preserve"> </w:t>
      </w:r>
      <w:r w:rsidRPr="004F79E5">
        <w:t>interest payments are fixed upon issuance, there is no mechanism for adjusting returns for changes in inflation and purchasing power</w:t>
      </w:r>
      <w:r>
        <w:t xml:space="preserve">.  </w:t>
      </w:r>
      <w:r w:rsidRPr="004F79E5">
        <w:t>Therefore, when inflationary fears rise, the perceived risk associated with bond investments increases, and interest rates rise</w:t>
      </w:r>
      <w:r>
        <w:t xml:space="preserve">.  </w:t>
      </w:r>
      <w:r w:rsidRPr="004F79E5">
        <w:t>On the other hand, equity investors may be shielded somewhat from inflation by the company</w:t>
      </w:r>
      <w:r>
        <w:t>’</w:t>
      </w:r>
      <w:r w:rsidRPr="004F79E5">
        <w:t>s ability to raise dividend payouts during inflationary periods</w:t>
      </w:r>
      <w:r>
        <w:t>.  Because</w:t>
      </w:r>
      <w:r w:rsidRPr="004F79E5">
        <w:t xml:space="preserve"> stocks may be viewed as a better hedge against inflation, the cost of equity will tend to rise less than the cost of debt</w:t>
      </w:r>
      <w:r>
        <w:t xml:space="preserve">.  </w:t>
      </w:r>
      <w:r w:rsidRPr="004F79E5">
        <w:t xml:space="preserve">Consequently, the equity </w:t>
      </w:r>
      <w:r>
        <w:t>risk premium</w:t>
      </w:r>
      <w:r w:rsidRPr="004F79E5">
        <w:t xml:space="preserve"> can be expected to fall as interest rates rise.</w:t>
      </w:r>
    </w:p>
    <w:p w14:paraId="6E303641" w14:textId="77777777" w:rsidR="00732777" w:rsidRDefault="00732777" w:rsidP="00732777">
      <w:pPr>
        <w:pStyle w:val="answer"/>
        <w:tabs>
          <w:tab w:val="clear" w:pos="-3420"/>
          <w:tab w:val="left" w:pos="720"/>
        </w:tabs>
        <w:spacing w:after="0" w:line="480" w:lineRule="atLeast"/>
        <w:ind w:right="0" w:firstLine="720"/>
      </w:pPr>
      <w:r w:rsidRPr="004F79E5">
        <w:lastRenderedPageBreak/>
        <w:t xml:space="preserve">In addition to the influence of inflation, changes in investor risk preferences can significantly affect equity </w:t>
      </w:r>
      <w:r>
        <w:t>risk premium</w:t>
      </w:r>
      <w:r w:rsidRPr="004F79E5">
        <w:t>s</w:t>
      </w:r>
      <w:r>
        <w:t xml:space="preserve">.  </w:t>
      </w:r>
      <w:r w:rsidRPr="004F79E5">
        <w:t xml:space="preserve">For example, if a major economic disruption or </w:t>
      </w:r>
      <w:r>
        <w:t xml:space="preserve">a </w:t>
      </w:r>
      <w:r w:rsidRPr="004F79E5">
        <w:t>recession were anticipated, a move to higher quality investments would likely occur</w:t>
      </w:r>
      <w:r>
        <w:t xml:space="preserve">.  </w:t>
      </w:r>
      <w:r w:rsidRPr="004F79E5">
        <w:t>This would have the probable effect of decreasing the returns</w:t>
      </w:r>
      <w:r>
        <w:t xml:space="preserve"> that investors require they be paid for investing in</w:t>
      </w:r>
      <w:r w:rsidRPr="004F79E5">
        <w:t xml:space="preserve"> U.S. Treasury bonds and high</w:t>
      </w:r>
      <w:r>
        <w:t>-</w:t>
      </w:r>
      <w:r w:rsidRPr="004F79E5">
        <w:t>grade corporate bonds</w:t>
      </w:r>
      <w:r>
        <w:t xml:space="preserve">.  </w:t>
      </w:r>
      <w:r w:rsidRPr="004F79E5">
        <w:t xml:space="preserve">If the returns on these securities were used to measure </w:t>
      </w:r>
      <w:r>
        <w:t>risk premium</w:t>
      </w:r>
      <w:r w:rsidRPr="004F79E5">
        <w:t>s, the observed equity</w:t>
      </w:r>
      <w:r>
        <w:t xml:space="preserve"> risk premium</w:t>
      </w:r>
      <w:r w:rsidRPr="004F79E5">
        <w:t>s would likely be higher</w:t>
      </w:r>
      <w:r>
        <w:t xml:space="preserve">.  </w:t>
      </w:r>
      <w:r w:rsidRPr="004F79E5">
        <w:t>Conversely, if the demand for higher quality investments were to fall, thereby pushing up the required returns, the observed equity</w:t>
      </w:r>
      <w:r>
        <w:t xml:space="preserve"> risk premium</w:t>
      </w:r>
      <w:r w:rsidRPr="004F79E5">
        <w:t>s would likely be lower.</w:t>
      </w:r>
    </w:p>
    <w:p w14:paraId="4EC8E8DB" w14:textId="2FB5BED1" w:rsidR="00B954D1" w:rsidRPr="002D1C04" w:rsidRDefault="00B954D1" w:rsidP="009C579C">
      <w:pPr>
        <w:pStyle w:val="answer"/>
        <w:tabs>
          <w:tab w:val="clear" w:pos="-3420"/>
          <w:tab w:val="clear" w:pos="360"/>
          <w:tab w:val="left" w:pos="720"/>
        </w:tabs>
        <w:spacing w:after="0" w:line="240" w:lineRule="auto"/>
        <w:ind w:right="0"/>
        <w:rPr>
          <w:bCs/>
        </w:rPr>
      </w:pPr>
    </w:p>
    <w:p w14:paraId="7A5ADEAF" w14:textId="410FBC62" w:rsidR="002D1C04" w:rsidRPr="004F79E5" w:rsidRDefault="002D1C04" w:rsidP="002D1C04">
      <w:pPr>
        <w:pStyle w:val="question"/>
        <w:numPr>
          <w:ilvl w:val="0"/>
          <w:numId w:val="46"/>
        </w:numPr>
        <w:spacing w:line="480" w:lineRule="atLeast"/>
        <w:ind w:left="720" w:hanging="720"/>
      </w:pPr>
      <w:r w:rsidRPr="004F79E5">
        <w:t xml:space="preserve">Please describe the </w:t>
      </w:r>
      <w:r>
        <w:t>“conventional” risk-premium</w:t>
      </w:r>
      <w:r w:rsidRPr="004F79E5">
        <w:t xml:space="preserve"> a</w:t>
      </w:r>
      <w:r>
        <w:t>pproach</w:t>
      </w:r>
      <w:r w:rsidRPr="004F79E5">
        <w:t xml:space="preserve"> </w:t>
      </w:r>
      <w:r>
        <w:t>that</w:t>
      </w:r>
      <w:r w:rsidRPr="004F79E5">
        <w:t xml:space="preserve"> you </w:t>
      </w:r>
      <w:r>
        <w:t>used in your estimate of cost of equity</w:t>
      </w:r>
      <w:r w:rsidRPr="00B3789E">
        <w:t xml:space="preserve"> </w:t>
      </w:r>
      <w:r>
        <w:t>for EPE</w:t>
      </w:r>
      <w:r w:rsidRPr="004F79E5">
        <w:t>.</w:t>
      </w:r>
    </w:p>
    <w:p w14:paraId="0B1DDB22" w14:textId="15D10B1E" w:rsidR="002D1C04" w:rsidRPr="002D1C04" w:rsidRDefault="002D1C04" w:rsidP="002D1C04">
      <w:pPr>
        <w:pStyle w:val="answer"/>
        <w:numPr>
          <w:ilvl w:val="0"/>
          <w:numId w:val="38"/>
        </w:numPr>
        <w:tabs>
          <w:tab w:val="clear" w:pos="360"/>
          <w:tab w:val="num" w:pos="-3420"/>
          <w:tab w:val="left" w:pos="720"/>
        </w:tabs>
        <w:spacing w:after="0" w:line="480" w:lineRule="atLeast"/>
        <w:ind w:left="720" w:right="0" w:hanging="720"/>
        <w:rPr>
          <w:u w:val="single"/>
        </w:rPr>
      </w:pPr>
      <w:r>
        <w:t xml:space="preserve">I refer to the risk-premium approach I use in the quantitative part of my testimony as the “conventional” risk premium to distinguish it from the concept of risk premiums in general and to denote that it is the primary risk-premium method on which Staff has relied for many years.  The conventional risk premium is a risk premium that estimates the cost of equity for </w:t>
      </w:r>
      <w:r w:rsidR="00AE041F">
        <w:t>a c</w:t>
      </w:r>
      <w:r>
        <w:t xml:space="preserve">ompany by comparing the costs of equity authorized for utilities across the United States to the yields of large-company corporate bonds that are rated Baa by </w:t>
      </w:r>
      <w:proofErr w:type="spellStart"/>
      <w:r>
        <w:t>Mergent</w:t>
      </w:r>
      <w:proofErr w:type="spellEnd"/>
      <w:r>
        <w:t xml:space="preserve"> Bond Data.  The timeframe I have used for this purpose is </w:t>
      </w:r>
      <w:r w:rsidRPr="00402BF1">
        <w:t xml:space="preserve">1980 through </w:t>
      </w:r>
      <w:r>
        <w:t xml:space="preserve">2020.  I did not use data from earlier than 1980 because of a sharp reduction in the money supply at that time. </w:t>
      </w:r>
    </w:p>
    <w:p w14:paraId="2F15E7A0" w14:textId="77777777" w:rsidR="002D1C04" w:rsidRPr="008305DA" w:rsidRDefault="002D1C04" w:rsidP="002D1C04">
      <w:pPr>
        <w:pStyle w:val="answer"/>
        <w:tabs>
          <w:tab w:val="clear" w:pos="-3420"/>
          <w:tab w:val="clear" w:pos="360"/>
          <w:tab w:val="left" w:pos="720"/>
        </w:tabs>
        <w:spacing w:after="0" w:line="240" w:lineRule="auto"/>
        <w:ind w:right="0" w:firstLine="0"/>
        <w:rPr>
          <w:u w:val="single"/>
        </w:rPr>
      </w:pPr>
    </w:p>
    <w:p w14:paraId="136C6F10" w14:textId="00E71948" w:rsidR="002D1C04" w:rsidRDefault="002D1C04" w:rsidP="002D1C04">
      <w:pPr>
        <w:pStyle w:val="question"/>
        <w:numPr>
          <w:ilvl w:val="0"/>
          <w:numId w:val="46"/>
        </w:numPr>
        <w:spacing w:line="480" w:lineRule="atLeast"/>
        <w:ind w:left="720" w:hanging="720"/>
      </w:pPr>
      <w:r>
        <w:t>How did you use the relationship between the authorized costs of equity and the bond yields to quantify the cost of equity for EPE?</w:t>
      </w:r>
    </w:p>
    <w:p w14:paraId="41ED65C5" w14:textId="1EF34DC8" w:rsidR="002D1C04" w:rsidRDefault="002D1C04" w:rsidP="002D1C04">
      <w:pPr>
        <w:pStyle w:val="answer"/>
        <w:numPr>
          <w:ilvl w:val="0"/>
          <w:numId w:val="38"/>
        </w:numPr>
        <w:tabs>
          <w:tab w:val="clear" w:pos="360"/>
          <w:tab w:val="num" w:pos="-3420"/>
          <w:tab w:val="left" w:pos="720"/>
        </w:tabs>
        <w:spacing w:after="0" w:line="480" w:lineRule="atLeast"/>
        <w:ind w:left="720" w:right="0" w:hanging="720"/>
      </w:pPr>
      <w:r w:rsidRPr="00E6445E">
        <w:t>I quantified th</w:t>
      </w:r>
      <w:r>
        <w:t>e</w:t>
      </w:r>
      <w:r w:rsidRPr="00E6445E">
        <w:t xml:space="preserve"> </w:t>
      </w:r>
      <w:r>
        <w:t>relationship by subtracting the bond yields from the authorized costs of equity to determine a risk premium for the riskier equity.</w:t>
      </w:r>
    </w:p>
    <w:p w14:paraId="76FBA368" w14:textId="77777777" w:rsidR="002D1C04" w:rsidRDefault="002D1C04" w:rsidP="002D1C04">
      <w:pPr>
        <w:pStyle w:val="answer"/>
        <w:tabs>
          <w:tab w:val="clear" w:pos="-3420"/>
          <w:tab w:val="clear" w:pos="360"/>
          <w:tab w:val="left" w:pos="720"/>
        </w:tabs>
        <w:spacing w:after="0" w:line="240" w:lineRule="auto"/>
        <w:ind w:right="0" w:firstLine="0"/>
      </w:pPr>
    </w:p>
    <w:p w14:paraId="4B660FCE" w14:textId="77777777" w:rsidR="002D1C04" w:rsidRPr="005410D4" w:rsidRDefault="002D1C04" w:rsidP="002D1C04">
      <w:pPr>
        <w:pStyle w:val="question"/>
        <w:numPr>
          <w:ilvl w:val="0"/>
          <w:numId w:val="46"/>
        </w:numPr>
        <w:spacing w:line="480" w:lineRule="atLeast"/>
        <w:ind w:left="720" w:hanging="720"/>
      </w:pPr>
      <w:r w:rsidRPr="005410D4">
        <w:lastRenderedPageBreak/>
        <w:t>Did you test the data for correlation as you described earlier in the i</w:t>
      </w:r>
      <w:r>
        <w:t xml:space="preserve">ntroduction to </w:t>
      </w:r>
      <w:r w:rsidRPr="000412F5">
        <w:t>Part D</w:t>
      </w:r>
      <w:r w:rsidRPr="005410D4">
        <w:t>?</w:t>
      </w:r>
    </w:p>
    <w:p w14:paraId="2579387D" w14:textId="6A726BA8" w:rsidR="002D1C04" w:rsidRDefault="002D1C04" w:rsidP="002D1C04">
      <w:pPr>
        <w:pStyle w:val="answer"/>
        <w:numPr>
          <w:ilvl w:val="0"/>
          <w:numId w:val="38"/>
        </w:numPr>
        <w:tabs>
          <w:tab w:val="clear" w:pos="360"/>
          <w:tab w:val="num" w:pos="-3420"/>
          <w:tab w:val="left" w:pos="720"/>
        </w:tabs>
        <w:spacing w:after="0" w:line="480" w:lineRule="atLeast"/>
        <w:ind w:left="720" w:right="0" w:hanging="720"/>
      </w:pPr>
      <w:r w:rsidRPr="005410D4">
        <w:t xml:space="preserve">Yes.  I performed a regression analysis to analyze the relationship between the risk premium and the bond yields in the corresponding period.  The regression analysis showed, with high confidence, that there is a trend in the relationship.  It is an inverse trend, in which the risk premiums increase as bond yields decrease.  On average, during 1980 </w:t>
      </w:r>
      <w:r>
        <w:t xml:space="preserve">through 2020, risk premiums increased </w:t>
      </w:r>
      <w:r w:rsidRPr="002304DD">
        <w:t>0.44</w:t>
      </w:r>
      <w:r>
        <w:t>57</w:t>
      </w:r>
      <w:r w:rsidRPr="002304DD">
        <w:t>%</w:t>
      </w:r>
      <w:r w:rsidRPr="005410D4">
        <w:t xml:space="preserve"> for every 1.00% that bond yields decreased. </w:t>
      </w:r>
    </w:p>
    <w:p w14:paraId="4298FC0D" w14:textId="77777777" w:rsidR="002D1C04" w:rsidRPr="005410D4" w:rsidRDefault="002D1C04" w:rsidP="002D1C04">
      <w:pPr>
        <w:pStyle w:val="answer"/>
        <w:tabs>
          <w:tab w:val="clear" w:pos="-3420"/>
          <w:tab w:val="clear" w:pos="360"/>
          <w:tab w:val="left" w:pos="720"/>
        </w:tabs>
        <w:spacing w:after="0" w:line="240" w:lineRule="auto"/>
        <w:ind w:right="0" w:firstLine="0"/>
      </w:pPr>
    </w:p>
    <w:p w14:paraId="3678E768" w14:textId="77777777" w:rsidR="002D1C04" w:rsidRDefault="002D1C04" w:rsidP="002D1C04">
      <w:pPr>
        <w:pStyle w:val="question"/>
        <w:numPr>
          <w:ilvl w:val="0"/>
          <w:numId w:val="46"/>
        </w:numPr>
        <w:spacing w:line="480" w:lineRule="atLeast"/>
        <w:ind w:left="720" w:hanging="720"/>
      </w:pPr>
      <w:r>
        <w:t>Did you incorporate that relationship in your risk-premium estimate?</w:t>
      </w:r>
    </w:p>
    <w:p w14:paraId="57524C02" w14:textId="5133DE6E" w:rsidR="002D1C04" w:rsidRDefault="002D1C04" w:rsidP="002D1C04">
      <w:pPr>
        <w:pStyle w:val="answer"/>
        <w:numPr>
          <w:ilvl w:val="0"/>
          <w:numId w:val="38"/>
        </w:numPr>
        <w:tabs>
          <w:tab w:val="clear" w:pos="360"/>
          <w:tab w:val="num" w:pos="-3420"/>
          <w:tab w:val="left" w:pos="720"/>
        </w:tabs>
        <w:spacing w:after="0" w:line="480" w:lineRule="atLeast"/>
        <w:ind w:left="720" w:right="0" w:hanging="720"/>
      </w:pPr>
      <w:r>
        <w:t>Yes.  The calculation of the adjustment to the risk premium that the regression analysis indicated is shown on Page 2 of Attachment ES-9.</w:t>
      </w:r>
    </w:p>
    <w:p w14:paraId="3D70E10D" w14:textId="77777777" w:rsidR="002D1C04" w:rsidRDefault="002D1C04" w:rsidP="002D1C04">
      <w:pPr>
        <w:pStyle w:val="answer"/>
        <w:tabs>
          <w:tab w:val="clear" w:pos="-3420"/>
          <w:tab w:val="clear" w:pos="360"/>
          <w:tab w:val="left" w:pos="720"/>
        </w:tabs>
        <w:spacing w:after="0" w:line="240" w:lineRule="auto"/>
        <w:ind w:right="0" w:firstLine="0"/>
      </w:pPr>
    </w:p>
    <w:p w14:paraId="0B3AD0A8" w14:textId="77777777" w:rsidR="002D1C04" w:rsidRPr="004F79E5" w:rsidRDefault="002D1C04" w:rsidP="002D1C04">
      <w:pPr>
        <w:pStyle w:val="question"/>
        <w:numPr>
          <w:ilvl w:val="0"/>
          <w:numId w:val="46"/>
        </w:numPr>
        <w:spacing w:line="480" w:lineRule="atLeast"/>
        <w:ind w:left="720" w:hanging="720"/>
      </w:pPr>
      <w:r w:rsidRPr="004F79E5">
        <w:t xml:space="preserve">What are the results of your </w:t>
      </w:r>
      <w:r>
        <w:t>risk-premium</w:t>
      </w:r>
      <w:r w:rsidRPr="004F79E5">
        <w:t xml:space="preserve"> analysis?</w:t>
      </w:r>
    </w:p>
    <w:p w14:paraId="6A636E08" w14:textId="428509EA" w:rsidR="002D1C04" w:rsidRPr="002D1C04" w:rsidRDefault="002D1C04" w:rsidP="002D1C04">
      <w:pPr>
        <w:pStyle w:val="answer"/>
        <w:numPr>
          <w:ilvl w:val="0"/>
          <w:numId w:val="38"/>
        </w:numPr>
        <w:tabs>
          <w:tab w:val="clear" w:pos="360"/>
          <w:tab w:val="num" w:pos="-3420"/>
          <w:tab w:val="left" w:pos="720"/>
        </w:tabs>
        <w:spacing w:after="0" w:line="480" w:lineRule="atLeast"/>
        <w:ind w:left="720" w:right="0" w:hanging="720"/>
      </w:pPr>
      <w:r>
        <w:t>As shown on Page 2 of Attachment ES-9, the conventional risk-premium analysis implie</w:t>
      </w:r>
      <w:r w:rsidR="00AE041F">
        <w:t>s</w:t>
      </w:r>
      <w:r>
        <w:t xml:space="preserve"> a cost of </w:t>
      </w:r>
      <w:r w:rsidRPr="002D1C04">
        <w:t xml:space="preserve">equity of 8.97%. </w:t>
      </w:r>
    </w:p>
    <w:p w14:paraId="3ED597C0" w14:textId="7EEA27AD" w:rsidR="002D1C04" w:rsidRPr="002D1C04" w:rsidRDefault="002D1C04" w:rsidP="002D1C04"/>
    <w:p w14:paraId="78011846" w14:textId="12C89B90" w:rsidR="002D1C04" w:rsidRDefault="002D1C04" w:rsidP="002D1C04">
      <w:pPr>
        <w:pStyle w:val="Heading2"/>
        <w:spacing w:line="480" w:lineRule="atLeast"/>
      </w:pPr>
      <w:bookmarkStart w:id="9" w:name="_Toc85035566"/>
      <w:r>
        <w:t>SUMMARY OF COST-OF-EQUITY ANALYSES</w:t>
      </w:r>
      <w:bookmarkEnd w:id="9"/>
    </w:p>
    <w:p w14:paraId="350497B0" w14:textId="7425104D" w:rsidR="002D1C04" w:rsidRDefault="002D1C04" w:rsidP="002D1C04">
      <w:pPr>
        <w:spacing w:line="480" w:lineRule="atLeast"/>
        <w:ind w:left="720" w:hanging="720"/>
        <w:rPr>
          <w:b/>
          <w:bCs/>
        </w:rPr>
      </w:pPr>
      <w:r>
        <w:rPr>
          <w:b/>
          <w:bCs/>
        </w:rPr>
        <w:t>Q.</w:t>
      </w:r>
      <w:r>
        <w:rPr>
          <w:b/>
          <w:bCs/>
        </w:rPr>
        <w:tab/>
        <w:t>Please summarize the results of your cost-of-equity analyses.</w:t>
      </w:r>
    </w:p>
    <w:p w14:paraId="4CEF4412" w14:textId="05D2AB1D" w:rsidR="002D1C04" w:rsidRDefault="002D1C04" w:rsidP="002D1C04">
      <w:pPr>
        <w:spacing w:line="480" w:lineRule="atLeast"/>
        <w:ind w:left="720" w:hanging="720"/>
      </w:pPr>
      <w:r>
        <w:t>A.</w:t>
      </w:r>
      <w:r>
        <w:tab/>
        <w:t>The results from the analyses appear on Attachment ES-11 and in the following table: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3049"/>
        <w:gridCol w:w="2778"/>
      </w:tblGrid>
      <w:tr w:rsidR="0099440E" w14:paraId="50805DA5" w14:textId="77777777" w:rsidTr="0099440E">
        <w:tc>
          <w:tcPr>
            <w:tcW w:w="2976" w:type="dxa"/>
          </w:tcPr>
          <w:p w14:paraId="2B93E39F" w14:textId="00E10E50" w:rsidR="0099440E" w:rsidRPr="0099440E" w:rsidRDefault="0099440E" w:rsidP="002D1C04">
            <w:pPr>
              <w:spacing w:line="480" w:lineRule="atLeast"/>
              <w:rPr>
                <w:b/>
                <w:bCs/>
                <w:u w:val="single"/>
              </w:rPr>
            </w:pPr>
            <w:r>
              <w:rPr>
                <w:b/>
                <w:bCs/>
                <w:u w:val="single"/>
              </w:rPr>
              <w:t>Methodology</w:t>
            </w:r>
          </w:p>
        </w:tc>
        <w:tc>
          <w:tcPr>
            <w:tcW w:w="3049" w:type="dxa"/>
          </w:tcPr>
          <w:p w14:paraId="6390026E" w14:textId="44DFEE66" w:rsidR="0099440E" w:rsidRPr="0099440E" w:rsidRDefault="0099440E" w:rsidP="002D1C04">
            <w:pPr>
              <w:spacing w:line="480" w:lineRule="atLeast"/>
              <w:rPr>
                <w:b/>
                <w:bCs/>
                <w:u w:val="single"/>
              </w:rPr>
            </w:pPr>
            <w:r>
              <w:rPr>
                <w:b/>
                <w:bCs/>
                <w:u w:val="single"/>
              </w:rPr>
              <w:t>Point Estimate</w:t>
            </w:r>
          </w:p>
        </w:tc>
        <w:tc>
          <w:tcPr>
            <w:tcW w:w="2778" w:type="dxa"/>
          </w:tcPr>
          <w:p w14:paraId="26BA3497" w14:textId="6F94C331" w:rsidR="0099440E" w:rsidRPr="0099440E" w:rsidRDefault="0099440E" w:rsidP="002D1C04">
            <w:pPr>
              <w:spacing w:line="480" w:lineRule="atLeast"/>
              <w:rPr>
                <w:b/>
                <w:bCs/>
                <w:u w:val="single"/>
              </w:rPr>
            </w:pPr>
            <w:r>
              <w:rPr>
                <w:b/>
                <w:bCs/>
                <w:u w:val="single"/>
              </w:rPr>
              <w:t>Range</w:t>
            </w:r>
          </w:p>
        </w:tc>
      </w:tr>
      <w:tr w:rsidR="0099440E" w14:paraId="01AF74DB" w14:textId="77777777" w:rsidTr="0099440E">
        <w:tc>
          <w:tcPr>
            <w:tcW w:w="2976" w:type="dxa"/>
          </w:tcPr>
          <w:p w14:paraId="67956625" w14:textId="0D3B9642" w:rsidR="0099440E" w:rsidRDefault="0099440E" w:rsidP="002D1C04">
            <w:pPr>
              <w:spacing w:line="480" w:lineRule="atLeast"/>
            </w:pPr>
            <w:r>
              <w:t>Single-stage DCF Analyses</w:t>
            </w:r>
          </w:p>
        </w:tc>
        <w:tc>
          <w:tcPr>
            <w:tcW w:w="3049" w:type="dxa"/>
          </w:tcPr>
          <w:p w14:paraId="697C8629" w14:textId="6DE7727B" w:rsidR="0099440E" w:rsidRDefault="0099440E" w:rsidP="002D1C04">
            <w:pPr>
              <w:spacing w:line="480" w:lineRule="atLeast"/>
            </w:pPr>
            <w:r>
              <w:t>9.1</w:t>
            </w:r>
            <w:r w:rsidR="00C53BBB">
              <w:t>6</w:t>
            </w:r>
            <w:r>
              <w:t>%</w:t>
            </w:r>
          </w:p>
        </w:tc>
        <w:tc>
          <w:tcPr>
            <w:tcW w:w="2778" w:type="dxa"/>
          </w:tcPr>
          <w:p w14:paraId="6933C23C" w14:textId="2FCD15CB" w:rsidR="0099440E" w:rsidRDefault="0099440E" w:rsidP="002D1C04">
            <w:pPr>
              <w:spacing w:line="480" w:lineRule="atLeast"/>
            </w:pPr>
            <w:r>
              <w:t>6.75% - 12.12%</w:t>
            </w:r>
          </w:p>
        </w:tc>
      </w:tr>
      <w:tr w:rsidR="0099440E" w14:paraId="06EC6980" w14:textId="77777777" w:rsidTr="0099440E">
        <w:tc>
          <w:tcPr>
            <w:tcW w:w="2976" w:type="dxa"/>
          </w:tcPr>
          <w:p w14:paraId="4322AF1B" w14:textId="03A85C17" w:rsidR="0099440E" w:rsidRDefault="0099440E" w:rsidP="002D1C04">
            <w:pPr>
              <w:spacing w:line="480" w:lineRule="atLeast"/>
            </w:pPr>
            <w:r>
              <w:t>Multi-stage DCF Analyses</w:t>
            </w:r>
          </w:p>
        </w:tc>
        <w:tc>
          <w:tcPr>
            <w:tcW w:w="3049" w:type="dxa"/>
          </w:tcPr>
          <w:p w14:paraId="24A46578" w14:textId="5F858084" w:rsidR="0099440E" w:rsidRDefault="0099440E" w:rsidP="002D1C04">
            <w:pPr>
              <w:spacing w:line="480" w:lineRule="atLeast"/>
            </w:pPr>
            <w:r>
              <w:t>8.62%</w:t>
            </w:r>
          </w:p>
        </w:tc>
        <w:tc>
          <w:tcPr>
            <w:tcW w:w="2778" w:type="dxa"/>
          </w:tcPr>
          <w:p w14:paraId="51D58216" w14:textId="7FE395D7" w:rsidR="0099440E" w:rsidRDefault="0099440E" w:rsidP="002D1C04">
            <w:pPr>
              <w:spacing w:line="480" w:lineRule="atLeast"/>
            </w:pPr>
            <w:r>
              <w:t>7.62%-9.77%</w:t>
            </w:r>
          </w:p>
        </w:tc>
      </w:tr>
      <w:tr w:rsidR="0099440E" w14:paraId="1609C533" w14:textId="77777777" w:rsidTr="0099440E">
        <w:tc>
          <w:tcPr>
            <w:tcW w:w="2976" w:type="dxa"/>
          </w:tcPr>
          <w:p w14:paraId="36980F5E" w14:textId="1BEFBE9F" w:rsidR="0099440E" w:rsidRDefault="0099440E" w:rsidP="002D1C04">
            <w:pPr>
              <w:spacing w:line="480" w:lineRule="atLeast"/>
            </w:pPr>
            <w:r>
              <w:t>Conventional Risk Premium</w:t>
            </w:r>
          </w:p>
        </w:tc>
        <w:tc>
          <w:tcPr>
            <w:tcW w:w="3049" w:type="dxa"/>
          </w:tcPr>
          <w:p w14:paraId="02926803" w14:textId="193A2EA8" w:rsidR="0099440E" w:rsidRDefault="0099440E" w:rsidP="002D1C04">
            <w:pPr>
              <w:spacing w:line="480" w:lineRule="atLeast"/>
            </w:pPr>
            <w:r>
              <w:t>8.97%</w:t>
            </w:r>
          </w:p>
        </w:tc>
        <w:tc>
          <w:tcPr>
            <w:tcW w:w="2778" w:type="dxa"/>
          </w:tcPr>
          <w:p w14:paraId="45ACECEB" w14:textId="69C156F1" w:rsidR="0099440E" w:rsidRDefault="0099440E" w:rsidP="002D1C04">
            <w:pPr>
              <w:spacing w:line="480" w:lineRule="atLeast"/>
            </w:pPr>
            <w:r>
              <w:t>N/A</w:t>
            </w:r>
          </w:p>
        </w:tc>
      </w:tr>
      <w:tr w:rsidR="0099440E" w14:paraId="53E1A33B" w14:textId="77777777" w:rsidTr="0099440E">
        <w:tc>
          <w:tcPr>
            <w:tcW w:w="2976" w:type="dxa"/>
          </w:tcPr>
          <w:p w14:paraId="62D02253" w14:textId="05CD8F93" w:rsidR="0099440E" w:rsidRPr="0099440E" w:rsidRDefault="0099440E" w:rsidP="002D1C04">
            <w:pPr>
              <w:spacing w:line="480" w:lineRule="atLeast"/>
              <w:rPr>
                <w:b/>
                <w:bCs/>
              </w:rPr>
            </w:pPr>
            <w:r>
              <w:rPr>
                <w:b/>
                <w:bCs/>
              </w:rPr>
              <w:t>Unadjusted ROE Estimate</w:t>
            </w:r>
          </w:p>
        </w:tc>
        <w:tc>
          <w:tcPr>
            <w:tcW w:w="3049" w:type="dxa"/>
          </w:tcPr>
          <w:p w14:paraId="65C1AF01" w14:textId="06C52C5D" w:rsidR="0099440E" w:rsidRPr="0099440E" w:rsidRDefault="0099440E" w:rsidP="002D1C04">
            <w:pPr>
              <w:spacing w:line="480" w:lineRule="atLeast"/>
              <w:rPr>
                <w:b/>
                <w:bCs/>
                <w:i/>
                <w:iCs/>
              </w:rPr>
            </w:pPr>
            <w:r w:rsidRPr="0099440E">
              <w:rPr>
                <w:b/>
                <w:bCs/>
                <w:i/>
                <w:iCs/>
              </w:rPr>
              <w:t>9.1</w:t>
            </w:r>
            <w:r w:rsidR="00C53BBB">
              <w:rPr>
                <w:b/>
                <w:bCs/>
                <w:i/>
                <w:iCs/>
              </w:rPr>
              <w:t>6</w:t>
            </w:r>
            <w:r w:rsidRPr="0099440E">
              <w:rPr>
                <w:b/>
                <w:bCs/>
                <w:i/>
                <w:iCs/>
              </w:rPr>
              <w:t>% (rounded to 9.</w:t>
            </w:r>
            <w:r w:rsidR="00C53BBB">
              <w:rPr>
                <w:b/>
                <w:bCs/>
                <w:i/>
                <w:iCs/>
              </w:rPr>
              <w:t>2</w:t>
            </w:r>
            <w:r w:rsidRPr="0099440E">
              <w:rPr>
                <w:b/>
                <w:bCs/>
                <w:i/>
                <w:iCs/>
              </w:rPr>
              <w:t>%)</w:t>
            </w:r>
          </w:p>
        </w:tc>
        <w:tc>
          <w:tcPr>
            <w:tcW w:w="2778" w:type="dxa"/>
          </w:tcPr>
          <w:p w14:paraId="5263A5EF" w14:textId="507991E1" w:rsidR="0099440E" w:rsidRDefault="0099440E" w:rsidP="002D1C04">
            <w:pPr>
              <w:spacing w:line="480" w:lineRule="atLeast"/>
            </w:pPr>
            <w:r>
              <w:t>8.62% - 9.1</w:t>
            </w:r>
            <w:r w:rsidR="00C53BBB">
              <w:t>6</w:t>
            </w:r>
            <w:r>
              <w:t>%</w:t>
            </w:r>
          </w:p>
        </w:tc>
      </w:tr>
    </w:tbl>
    <w:p w14:paraId="7DFB283C" w14:textId="77777777" w:rsidR="002D1C04" w:rsidRPr="002D1C04" w:rsidRDefault="002D1C04" w:rsidP="002D1C04">
      <w:pPr>
        <w:spacing w:line="480" w:lineRule="atLeast"/>
        <w:ind w:left="720" w:hanging="720"/>
      </w:pPr>
    </w:p>
    <w:p w14:paraId="599A6D0E" w14:textId="101A643B" w:rsidR="002D1C04" w:rsidRDefault="0099440E" w:rsidP="002D1C04">
      <w:pPr>
        <w:spacing w:line="480" w:lineRule="atLeast"/>
        <w:ind w:left="720" w:hanging="720"/>
        <w:rPr>
          <w:b/>
          <w:bCs/>
        </w:rPr>
      </w:pPr>
      <w:r>
        <w:rPr>
          <w:b/>
          <w:bCs/>
        </w:rPr>
        <w:lastRenderedPageBreak/>
        <w:t>Q.</w:t>
      </w:r>
      <w:r>
        <w:rPr>
          <w:b/>
          <w:bCs/>
        </w:rPr>
        <w:tab/>
        <w:t>What is your recommendation for the return on equity for EPE?</w:t>
      </w:r>
    </w:p>
    <w:p w14:paraId="5F83D29F" w14:textId="16E31521" w:rsidR="0099440E" w:rsidRDefault="0099440E" w:rsidP="00033A22">
      <w:pPr>
        <w:spacing w:line="480" w:lineRule="atLeast"/>
        <w:ind w:left="720" w:hanging="720"/>
        <w:jc w:val="both"/>
      </w:pPr>
      <w:r>
        <w:t>A.</w:t>
      </w:r>
      <w:r>
        <w:tab/>
        <w:t>Considering the DCF analyses of companies that are comparable to the Company and the conventional risk-premium analysis described previously in my testimony, I recommend an unadjusted ROE for EPE of 9.</w:t>
      </w:r>
      <w:r w:rsidR="00C53BBB">
        <w:t>2</w:t>
      </w:r>
      <w:r>
        <w:t xml:space="preserve">%.  </w:t>
      </w:r>
    </w:p>
    <w:p w14:paraId="16F2A964" w14:textId="7056BCEC" w:rsidR="0099440E" w:rsidRPr="0099440E" w:rsidRDefault="0099440E" w:rsidP="00033A22">
      <w:pPr>
        <w:spacing w:line="480" w:lineRule="atLeast"/>
        <w:ind w:left="720" w:hanging="720"/>
        <w:jc w:val="both"/>
      </w:pPr>
      <w:r>
        <w:tab/>
      </w:r>
      <w:r>
        <w:tab/>
      </w:r>
      <w:r>
        <w:tab/>
        <w:t>Based on my analyses and the foregoing considerations, my overall recommendation of 9.</w:t>
      </w:r>
      <w:r w:rsidR="00C53BBB">
        <w:t>2</w:t>
      </w:r>
      <w:r>
        <w:t xml:space="preserve">% is a reasonable estimate of the ROE for EPE and is fully consistent with the requirements of </w:t>
      </w:r>
      <w:r>
        <w:rPr>
          <w:i/>
          <w:iCs/>
        </w:rPr>
        <w:t>Hope</w:t>
      </w:r>
      <w:r>
        <w:t xml:space="preserve"> and </w:t>
      </w:r>
      <w:r>
        <w:rPr>
          <w:i/>
          <w:iCs/>
        </w:rPr>
        <w:t>Bluefield</w:t>
      </w:r>
      <w:r>
        <w:t xml:space="preserve"> that I referenced earlier in my testimony.</w:t>
      </w:r>
    </w:p>
    <w:p w14:paraId="615F9BBD" w14:textId="40A60712" w:rsidR="0099440E" w:rsidRDefault="0099440E" w:rsidP="0099440E">
      <w:pPr>
        <w:spacing w:line="240" w:lineRule="auto"/>
        <w:ind w:left="720" w:hanging="720"/>
        <w:rPr>
          <w:b/>
          <w:bCs/>
        </w:rPr>
      </w:pPr>
    </w:p>
    <w:p w14:paraId="3C6A270A" w14:textId="103F79A7" w:rsidR="0099440E" w:rsidRDefault="00C760BD" w:rsidP="0099440E">
      <w:pPr>
        <w:pStyle w:val="Heading1"/>
        <w:spacing w:line="480" w:lineRule="atLeast"/>
      </w:pPr>
      <w:r>
        <w:t xml:space="preserve"> </w:t>
      </w:r>
      <w:bookmarkStart w:id="10" w:name="_Toc85035567"/>
      <w:r w:rsidR="0099440E">
        <w:t>COST OF DEBT</w:t>
      </w:r>
      <w:bookmarkEnd w:id="10"/>
    </w:p>
    <w:p w14:paraId="2EE8F006" w14:textId="41380F95" w:rsidR="0099440E" w:rsidRDefault="0099440E" w:rsidP="0099440E">
      <w:pPr>
        <w:spacing w:line="480" w:lineRule="atLeast"/>
        <w:ind w:left="720" w:hanging="720"/>
        <w:rPr>
          <w:b/>
          <w:bCs/>
        </w:rPr>
      </w:pPr>
      <w:r>
        <w:rPr>
          <w:b/>
          <w:bCs/>
        </w:rPr>
        <w:t>Q.</w:t>
      </w:r>
      <w:r>
        <w:rPr>
          <w:b/>
          <w:bCs/>
        </w:rPr>
        <w:tab/>
        <w:t>What cost of debt did EPE request in its Application?</w:t>
      </w:r>
    </w:p>
    <w:p w14:paraId="1EBAAC0F" w14:textId="261BC851" w:rsidR="0099440E" w:rsidRDefault="0099440E" w:rsidP="0099440E">
      <w:pPr>
        <w:spacing w:line="480" w:lineRule="atLeast"/>
        <w:ind w:left="720" w:hanging="720"/>
      </w:pPr>
      <w:r>
        <w:t>A.</w:t>
      </w:r>
      <w:r>
        <w:tab/>
        <w:t xml:space="preserve">In its Application, EPE requested a cost of debt of 5.58%, which was its cost of debt </w:t>
      </w:r>
      <w:r w:rsidR="00C760BD">
        <w:t>for the test year.</w:t>
      </w:r>
      <w:r w:rsidR="00C760BD">
        <w:rPr>
          <w:rStyle w:val="FootnoteReference"/>
        </w:rPr>
        <w:footnoteReference w:id="11"/>
      </w:r>
    </w:p>
    <w:p w14:paraId="12E08799" w14:textId="6A724F06" w:rsidR="00C760BD" w:rsidRDefault="00C760BD" w:rsidP="0099440E">
      <w:pPr>
        <w:spacing w:line="480" w:lineRule="atLeast"/>
        <w:ind w:left="720" w:hanging="720"/>
        <w:rPr>
          <w:b/>
          <w:bCs/>
        </w:rPr>
      </w:pPr>
      <w:r>
        <w:rPr>
          <w:b/>
          <w:bCs/>
        </w:rPr>
        <w:t>Q.</w:t>
      </w:r>
      <w:r>
        <w:rPr>
          <w:b/>
          <w:bCs/>
        </w:rPr>
        <w:tab/>
        <w:t>Have you used this EPE-requested cost of debt to estimate your proposed overall rate of return?</w:t>
      </w:r>
    </w:p>
    <w:p w14:paraId="3E4E79C3" w14:textId="12099DF0" w:rsidR="00C760BD" w:rsidRPr="00C760BD" w:rsidRDefault="00C760BD" w:rsidP="0099440E">
      <w:pPr>
        <w:spacing w:line="480" w:lineRule="atLeast"/>
        <w:ind w:left="720" w:hanging="720"/>
      </w:pPr>
      <w:r>
        <w:t>A.</w:t>
      </w:r>
      <w:r>
        <w:tab/>
        <w:t>Yes.  I have used the EPE-requested cost of debt of 5.58% in my proposed overall rate of return.  I describe the propose</w:t>
      </w:r>
      <w:r w:rsidR="00AE041F">
        <w:t>d</w:t>
      </w:r>
      <w:r>
        <w:t xml:space="preserve"> rate of return in Section VII of my testimony.</w:t>
      </w:r>
    </w:p>
    <w:p w14:paraId="36732F20" w14:textId="6922DAEF" w:rsidR="0099440E" w:rsidRDefault="0099440E" w:rsidP="0099440E">
      <w:pPr>
        <w:spacing w:line="480" w:lineRule="atLeast"/>
      </w:pPr>
    </w:p>
    <w:p w14:paraId="7935E6DA" w14:textId="5C8171AB" w:rsidR="00C760BD" w:rsidRDefault="00C760BD" w:rsidP="00C760BD">
      <w:pPr>
        <w:pStyle w:val="Heading1"/>
        <w:spacing w:line="480" w:lineRule="atLeast"/>
      </w:pPr>
      <w:r>
        <w:t xml:space="preserve"> </w:t>
      </w:r>
      <w:bookmarkStart w:id="11" w:name="_Toc85035568"/>
      <w:r>
        <w:t>CAPITAL STRUCTURE</w:t>
      </w:r>
      <w:bookmarkEnd w:id="11"/>
    </w:p>
    <w:p w14:paraId="3A42265D" w14:textId="57400682" w:rsidR="00C760BD" w:rsidRDefault="00C760BD" w:rsidP="00C760BD">
      <w:pPr>
        <w:spacing w:line="480" w:lineRule="atLeast"/>
        <w:ind w:left="720" w:hanging="720"/>
        <w:rPr>
          <w:b/>
          <w:bCs/>
        </w:rPr>
      </w:pPr>
      <w:r>
        <w:rPr>
          <w:b/>
          <w:bCs/>
        </w:rPr>
        <w:t>Q.</w:t>
      </w:r>
      <w:r>
        <w:rPr>
          <w:b/>
          <w:bCs/>
        </w:rPr>
        <w:tab/>
        <w:t>What capital structure did EPE propose in its Application?</w:t>
      </w:r>
    </w:p>
    <w:p w14:paraId="4E4697E5" w14:textId="5619D668" w:rsidR="00C3263B" w:rsidRDefault="00C3263B" w:rsidP="00C760BD">
      <w:pPr>
        <w:spacing w:line="480" w:lineRule="atLeast"/>
        <w:ind w:left="720" w:hanging="720"/>
      </w:pPr>
      <w:r>
        <w:t>A.</w:t>
      </w:r>
      <w:r>
        <w:tab/>
        <w:t>In its Application, EPE requested a capital structure consisting of 49% long-term debt and 51% common equity for rate-setting purposes.</w:t>
      </w:r>
      <w:r>
        <w:rPr>
          <w:rStyle w:val="FootnoteReference"/>
        </w:rPr>
        <w:footnoteReference w:id="12"/>
      </w:r>
      <w:r>
        <w:t xml:space="preserve">  </w:t>
      </w:r>
    </w:p>
    <w:p w14:paraId="38432B86" w14:textId="2D30088F" w:rsidR="00E34921" w:rsidRDefault="00E34921" w:rsidP="00E34921">
      <w:pPr>
        <w:spacing w:line="240" w:lineRule="auto"/>
        <w:ind w:left="720" w:hanging="720"/>
      </w:pPr>
    </w:p>
    <w:p w14:paraId="26C532DD" w14:textId="479E2A50" w:rsidR="000B2910" w:rsidRDefault="000B2910" w:rsidP="00E34921">
      <w:pPr>
        <w:spacing w:line="240" w:lineRule="auto"/>
        <w:ind w:left="720" w:hanging="720"/>
      </w:pPr>
    </w:p>
    <w:p w14:paraId="19CA1528" w14:textId="77777777" w:rsidR="000B2910" w:rsidRDefault="000B2910" w:rsidP="00E34921">
      <w:pPr>
        <w:spacing w:line="240" w:lineRule="auto"/>
        <w:ind w:left="720" w:hanging="720"/>
      </w:pPr>
    </w:p>
    <w:p w14:paraId="6CFF8441" w14:textId="64D3D7FD" w:rsidR="00C3263B" w:rsidRDefault="00C3263B" w:rsidP="00033A22">
      <w:pPr>
        <w:spacing w:line="480" w:lineRule="atLeast"/>
        <w:ind w:left="720" w:hanging="720"/>
        <w:jc w:val="both"/>
        <w:rPr>
          <w:b/>
          <w:bCs/>
        </w:rPr>
      </w:pPr>
      <w:r>
        <w:rPr>
          <w:b/>
          <w:bCs/>
        </w:rPr>
        <w:lastRenderedPageBreak/>
        <w:t>Q.</w:t>
      </w:r>
      <w:r>
        <w:rPr>
          <w:b/>
          <w:bCs/>
        </w:rPr>
        <w:tab/>
        <w:t>Do you believe that the capital structure EPE is requesting in its Application is appropriate for rate-setting purposes?</w:t>
      </w:r>
    </w:p>
    <w:p w14:paraId="2E11FED2" w14:textId="2FDE7509" w:rsidR="00C3263B" w:rsidRPr="00C3263B" w:rsidRDefault="00C3263B" w:rsidP="00033A22">
      <w:pPr>
        <w:spacing w:line="480" w:lineRule="atLeast"/>
        <w:ind w:left="720" w:hanging="720"/>
        <w:jc w:val="both"/>
      </w:pPr>
      <w:r>
        <w:t>A.</w:t>
      </w:r>
      <w:r>
        <w:tab/>
        <w:t>Yes.  The requested capital structure approximates EPE’s current actual capital structure of 47.5% long-term debt and 52.5% equity.  EPE is requesting a capital structure more reflective of its projected capital structure over the next few years</w:t>
      </w:r>
      <w:r w:rsidR="00E34921">
        <w:t>, including impacts of anticipated future debt issuances</w:t>
      </w:r>
      <w:r w:rsidR="00874365">
        <w:t>, along with</w:t>
      </w:r>
      <w:r w:rsidR="002F18B7">
        <w:t xml:space="preserve"> </w:t>
      </w:r>
      <w:r w:rsidR="00E34921">
        <w:t>dividend distributions to and equity infusions from SJH</w:t>
      </w:r>
      <w:r>
        <w:t>.  EPE is also requesting an equity ratio that is lower than its actual equity ratio, but is still credit supportive, and is the minimum level of equity it expects to maintain.</w:t>
      </w:r>
      <w:r w:rsidR="00E34921">
        <w:rPr>
          <w:rStyle w:val="FootnoteReference"/>
        </w:rPr>
        <w:footnoteReference w:id="13"/>
      </w:r>
      <w:r w:rsidR="00E34921">
        <w:t xml:space="preserve">  I recommend the Commission approve EPE’s requested regulatory capital structure consisting of 49% long-term debt and 51% equity for rate</w:t>
      </w:r>
      <w:r w:rsidR="00AE041F">
        <w:t>-</w:t>
      </w:r>
      <w:r w:rsidR="00E34921">
        <w:t>setting purposes.</w:t>
      </w:r>
    </w:p>
    <w:p w14:paraId="7E335118" w14:textId="6FAB50D0" w:rsidR="00C760BD" w:rsidRDefault="00C760BD" w:rsidP="00E34921">
      <w:pPr>
        <w:spacing w:line="240" w:lineRule="auto"/>
        <w:ind w:left="720" w:hanging="720"/>
      </w:pPr>
    </w:p>
    <w:p w14:paraId="1A483074" w14:textId="2C0F6976" w:rsidR="00E34921" w:rsidRDefault="00E34921" w:rsidP="00E34921">
      <w:pPr>
        <w:pStyle w:val="Heading1"/>
        <w:spacing w:line="480" w:lineRule="atLeast"/>
      </w:pPr>
      <w:bookmarkStart w:id="12" w:name="_Toc85035569"/>
      <w:r>
        <w:t>OVERALL RATE OF RETURN</w:t>
      </w:r>
      <w:bookmarkEnd w:id="12"/>
    </w:p>
    <w:p w14:paraId="664DA28A" w14:textId="21DC0029" w:rsidR="00E34921" w:rsidRDefault="00E34921" w:rsidP="00033A22">
      <w:pPr>
        <w:spacing w:line="480" w:lineRule="atLeast"/>
        <w:ind w:left="720" w:hanging="720"/>
        <w:jc w:val="both"/>
        <w:rPr>
          <w:b/>
          <w:bCs/>
        </w:rPr>
      </w:pPr>
      <w:r>
        <w:rPr>
          <w:b/>
          <w:bCs/>
        </w:rPr>
        <w:t>Q.</w:t>
      </w:r>
      <w:r>
        <w:rPr>
          <w:b/>
          <w:bCs/>
        </w:rPr>
        <w:tab/>
        <w:t>How did you calculate the overall cost of capital?</w:t>
      </w:r>
    </w:p>
    <w:p w14:paraId="0FFEE39D" w14:textId="112D8B2E" w:rsidR="00E34921" w:rsidRPr="00E34921" w:rsidRDefault="00E34921" w:rsidP="00033A22">
      <w:pPr>
        <w:spacing w:line="480" w:lineRule="atLeast"/>
        <w:ind w:left="720" w:hanging="720"/>
        <w:jc w:val="both"/>
      </w:pPr>
      <w:r>
        <w:t>A.</w:t>
      </w:r>
      <w:r>
        <w:tab/>
        <w:t xml:space="preserve">To calculate the recommended overall rate of return for EPE, I employed the weighted average cost-of-capital methodology, the use of which involves three steps in a regulatory </w:t>
      </w:r>
      <w:r w:rsidRPr="00E34921">
        <w:t>setting.</w:t>
      </w:r>
    </w:p>
    <w:p w14:paraId="18E2B0AC" w14:textId="1059173B" w:rsidR="00E34921" w:rsidRPr="00E34921" w:rsidRDefault="00E34921" w:rsidP="00E34921">
      <w:pPr>
        <w:pStyle w:val="answer"/>
        <w:tabs>
          <w:tab w:val="clear" w:pos="-3420"/>
          <w:tab w:val="clear" w:pos="360"/>
          <w:tab w:val="left" w:pos="720"/>
        </w:tabs>
        <w:spacing w:after="0" w:line="480" w:lineRule="atLeast"/>
        <w:ind w:right="0" w:firstLine="720"/>
      </w:pPr>
      <w:r w:rsidRPr="00E34921">
        <w:t>First, the analyst must identify the sources of capital and estimate the component cost of each source of capital in the target company’s capital structure.  Sources of capital generally consist of long-term debt and common equity in the electric utility regulatory setting.  The determination of cost for long-term debt is relatively straightforward because the costs of this capital source are embedded—i.e., they are set by contractual obligation and are therefore directly observable.  In contrast, the cost of equity is not directly observable and must be estimated using analytical models, as I have done earlier in Parts A through E of Section V of my testimony.</w:t>
      </w:r>
    </w:p>
    <w:p w14:paraId="4BA0853C" w14:textId="29F70232" w:rsidR="00E34921" w:rsidRPr="00E34921" w:rsidRDefault="00E34921" w:rsidP="00E34921">
      <w:pPr>
        <w:pStyle w:val="answer"/>
        <w:tabs>
          <w:tab w:val="clear" w:pos="-3420"/>
          <w:tab w:val="clear" w:pos="360"/>
          <w:tab w:val="left" w:pos="720"/>
        </w:tabs>
        <w:spacing w:after="0" w:line="480" w:lineRule="atLeast"/>
        <w:ind w:right="0" w:firstLine="720"/>
      </w:pPr>
      <w:r w:rsidRPr="00E34921">
        <w:lastRenderedPageBreak/>
        <w:t>Second, the analyst must recommend an appropriate capital structure for regulatory purposes.  For each source of capital identified, the analyst must recommend an appropriate weight.  I do this in Section VII of my testimony.</w:t>
      </w:r>
    </w:p>
    <w:p w14:paraId="682424F6" w14:textId="66DC75C2" w:rsidR="00E34921" w:rsidRDefault="00E34921" w:rsidP="00E34921">
      <w:pPr>
        <w:pStyle w:val="PlainText"/>
        <w:spacing w:line="480" w:lineRule="atLeast"/>
        <w:ind w:left="720" w:firstLine="720"/>
        <w:jc w:val="both"/>
        <w:rPr>
          <w:rFonts w:ascii="Times New Roman" w:hAnsi="Times New Roman"/>
          <w:sz w:val="24"/>
          <w:szCs w:val="24"/>
        </w:rPr>
      </w:pPr>
      <w:r w:rsidRPr="00E34921">
        <w:rPr>
          <w:rFonts w:ascii="Times New Roman" w:hAnsi="Times New Roman"/>
          <w:sz w:val="24"/>
          <w:szCs w:val="24"/>
        </w:rPr>
        <w:t>Third, the cost of each capital source is weighted by its relative proportion in the recommended capital structure.  The sum of these weighted component costs represents the weighted-average cost of capital—i.e., the overall rate of return.  For ratemaking purposes for an electric utility, this overall rate of return is multiplied by the utility’s invested capital (the rate base) in order to calculate the return component of the cost of service.</w:t>
      </w:r>
    </w:p>
    <w:p w14:paraId="329E88F7" w14:textId="77777777" w:rsidR="00E34921" w:rsidRPr="00E34921" w:rsidRDefault="00E34921" w:rsidP="00E34921">
      <w:pPr>
        <w:pStyle w:val="PlainText"/>
        <w:ind w:left="720" w:firstLine="720"/>
        <w:jc w:val="both"/>
        <w:rPr>
          <w:rFonts w:ascii="Times New Roman" w:hAnsi="Times New Roman"/>
          <w:sz w:val="24"/>
          <w:szCs w:val="24"/>
        </w:rPr>
      </w:pPr>
    </w:p>
    <w:p w14:paraId="4DAAED39" w14:textId="55D42803" w:rsidR="00E34921" w:rsidRPr="00E34921" w:rsidRDefault="00E34921" w:rsidP="00E34921">
      <w:pPr>
        <w:pStyle w:val="question"/>
        <w:spacing w:line="480" w:lineRule="atLeast"/>
      </w:pPr>
      <w:r w:rsidRPr="00E34921">
        <w:t>Q.</w:t>
      </w:r>
      <w:r w:rsidRPr="00E34921">
        <w:tab/>
        <w:t xml:space="preserve">What overall rate of return are you proposing for </w:t>
      </w:r>
      <w:r>
        <w:t>EPE</w:t>
      </w:r>
      <w:r w:rsidRPr="00E34921">
        <w:t xml:space="preserve"> in this proceeding?</w:t>
      </w:r>
    </w:p>
    <w:p w14:paraId="315B8737" w14:textId="1AC30858" w:rsidR="00E34921" w:rsidRPr="00E34921" w:rsidRDefault="00E34921" w:rsidP="00E34921">
      <w:pPr>
        <w:pStyle w:val="answer"/>
        <w:numPr>
          <w:ilvl w:val="0"/>
          <w:numId w:val="38"/>
        </w:numPr>
        <w:tabs>
          <w:tab w:val="clear" w:pos="360"/>
          <w:tab w:val="num" w:pos="-3420"/>
          <w:tab w:val="left" w:pos="720"/>
        </w:tabs>
        <w:spacing w:after="0" w:line="480" w:lineRule="atLeast"/>
        <w:ind w:left="720" w:right="0" w:hanging="720"/>
        <w:rPr>
          <w:b/>
          <w:caps/>
        </w:rPr>
      </w:pPr>
      <w:r w:rsidRPr="00E34921">
        <w:t xml:space="preserve">As shown on Attachment </w:t>
      </w:r>
      <w:r>
        <w:t>ES-3</w:t>
      </w:r>
      <w:r w:rsidRPr="00E34921">
        <w:t xml:space="preserve">, </w:t>
      </w:r>
      <w:r>
        <w:t xml:space="preserve">EPE’s </w:t>
      </w:r>
      <w:r w:rsidRPr="00E34921">
        <w:t>requested capital structure</w:t>
      </w:r>
      <w:r>
        <w:t xml:space="preserve"> and cost of debt, </w:t>
      </w:r>
      <w:r w:rsidRPr="00E34921">
        <w:t>when combined with my recommended cost of equity</w:t>
      </w:r>
      <w:r>
        <w:t>,</w:t>
      </w:r>
      <w:r w:rsidRPr="00E34921">
        <w:t xml:space="preserve"> results in a weighted-average cost of capital of </w:t>
      </w:r>
      <w:r>
        <w:t>7.4</w:t>
      </w:r>
      <w:r w:rsidR="00C53BBB">
        <w:t>2</w:t>
      </w:r>
      <w:r w:rsidRPr="00E34921">
        <w:t>%.</w:t>
      </w:r>
    </w:p>
    <w:p w14:paraId="7590CBC4" w14:textId="77777777" w:rsidR="00E34921" w:rsidRPr="00E34921" w:rsidRDefault="00E34921" w:rsidP="00E34921">
      <w:pPr>
        <w:spacing w:line="240" w:lineRule="auto"/>
        <w:ind w:left="720" w:hanging="720"/>
        <w:rPr>
          <w:b/>
          <w:bCs/>
        </w:rPr>
      </w:pPr>
    </w:p>
    <w:p w14:paraId="41F9DBA1" w14:textId="45D9EAA4" w:rsidR="00405D21" w:rsidRPr="002D1C04" w:rsidRDefault="00E34921" w:rsidP="00204A6E">
      <w:pPr>
        <w:pStyle w:val="Heading1"/>
        <w:keepNext w:val="0"/>
        <w:spacing w:line="480" w:lineRule="exact"/>
        <w:ind w:left="720" w:hanging="720"/>
        <w:jc w:val="both"/>
        <w:rPr>
          <w:szCs w:val="24"/>
        </w:rPr>
      </w:pPr>
      <w:bookmarkStart w:id="13" w:name="_Toc85035570"/>
      <w:bookmarkStart w:id="14" w:name="_Toc435102594"/>
      <w:r>
        <w:rPr>
          <w:szCs w:val="24"/>
        </w:rPr>
        <w:t>OTHER CONSIDERATIONS OF RATE OF RETURN</w:t>
      </w:r>
      <w:bookmarkEnd w:id="13"/>
    </w:p>
    <w:p w14:paraId="3D715B18" w14:textId="3D5A5DFD" w:rsidR="00E074FD" w:rsidRPr="00D13911" w:rsidRDefault="00E074FD" w:rsidP="00204A6E">
      <w:pPr>
        <w:tabs>
          <w:tab w:val="left" w:pos="0"/>
        </w:tabs>
        <w:spacing w:line="480" w:lineRule="exact"/>
        <w:ind w:left="720" w:hanging="720"/>
        <w:jc w:val="both"/>
        <w:rPr>
          <w:b/>
          <w:szCs w:val="26"/>
        </w:rPr>
      </w:pPr>
      <w:r w:rsidRPr="00D13911">
        <w:rPr>
          <w:b/>
          <w:szCs w:val="26"/>
        </w:rPr>
        <w:t>Q.</w:t>
      </w:r>
      <w:r w:rsidRPr="00D13911">
        <w:rPr>
          <w:b/>
          <w:szCs w:val="26"/>
        </w:rPr>
        <w:tab/>
      </w:r>
      <w:r w:rsidR="00F957C8">
        <w:rPr>
          <w:b/>
          <w:szCs w:val="26"/>
        </w:rPr>
        <w:t>Please describe EPE’s requested size premium.</w:t>
      </w:r>
    </w:p>
    <w:p w14:paraId="5E84BBB4" w14:textId="4B04A1B0" w:rsidR="00CB3A44" w:rsidRDefault="00E074FD" w:rsidP="00605D7C">
      <w:pPr>
        <w:widowControl/>
        <w:tabs>
          <w:tab w:val="left" w:pos="0"/>
        </w:tabs>
        <w:spacing w:line="480" w:lineRule="exact"/>
        <w:ind w:left="720" w:hanging="720"/>
        <w:jc w:val="both"/>
        <w:rPr>
          <w:szCs w:val="26"/>
        </w:rPr>
      </w:pPr>
      <w:r w:rsidRPr="00D13911">
        <w:rPr>
          <w:szCs w:val="26"/>
        </w:rPr>
        <w:t>A.</w:t>
      </w:r>
      <w:r w:rsidRPr="00D13911">
        <w:rPr>
          <w:szCs w:val="26"/>
        </w:rPr>
        <w:tab/>
      </w:r>
      <w:r w:rsidR="00F957C8">
        <w:rPr>
          <w:szCs w:val="26"/>
        </w:rPr>
        <w:t>In her direct testimony, Ms. Nelson includes the small</w:t>
      </w:r>
      <w:r w:rsidR="00625B52">
        <w:rPr>
          <w:szCs w:val="26"/>
        </w:rPr>
        <w:t>-</w:t>
      </w:r>
      <w:r w:rsidR="00F957C8">
        <w:rPr>
          <w:szCs w:val="26"/>
        </w:rPr>
        <w:t>size effect when determining where in her range of results EPE’s required ROE approximately falls.</w:t>
      </w:r>
      <w:r w:rsidR="00F957C8">
        <w:rPr>
          <w:rStyle w:val="FootnoteReference"/>
          <w:szCs w:val="26"/>
        </w:rPr>
        <w:footnoteReference w:id="14"/>
      </w:r>
    </w:p>
    <w:p w14:paraId="5BA75A6C" w14:textId="77777777" w:rsidR="00944E19" w:rsidRDefault="00944E19" w:rsidP="00E932E7">
      <w:pPr>
        <w:tabs>
          <w:tab w:val="left" w:pos="0"/>
        </w:tabs>
        <w:spacing w:line="240" w:lineRule="auto"/>
        <w:ind w:left="720" w:hanging="720"/>
        <w:jc w:val="both"/>
        <w:rPr>
          <w:szCs w:val="26"/>
        </w:rPr>
      </w:pPr>
    </w:p>
    <w:p w14:paraId="333A2801" w14:textId="3AC16A8E" w:rsidR="00E074FD" w:rsidRPr="00D13911" w:rsidRDefault="00E074FD" w:rsidP="00204A6E">
      <w:pPr>
        <w:tabs>
          <w:tab w:val="left" w:pos="0"/>
        </w:tabs>
        <w:spacing w:line="480" w:lineRule="exact"/>
        <w:ind w:left="720" w:hanging="720"/>
        <w:jc w:val="both"/>
        <w:rPr>
          <w:b/>
          <w:szCs w:val="26"/>
        </w:rPr>
      </w:pPr>
      <w:r w:rsidRPr="00D13911">
        <w:rPr>
          <w:b/>
          <w:szCs w:val="26"/>
        </w:rPr>
        <w:t>Q.</w:t>
      </w:r>
      <w:r w:rsidRPr="00D13911">
        <w:rPr>
          <w:b/>
          <w:szCs w:val="26"/>
        </w:rPr>
        <w:tab/>
      </w:r>
      <w:r w:rsidR="00F957C8">
        <w:rPr>
          <w:b/>
          <w:szCs w:val="26"/>
        </w:rPr>
        <w:t>Do you agree that the Commission should factor in size when setting EPE’s authorized ROE?</w:t>
      </w:r>
    </w:p>
    <w:p w14:paraId="20E000C9" w14:textId="0860DE42" w:rsidR="00AE041F" w:rsidRDefault="00E074FD" w:rsidP="00AE041F">
      <w:pPr>
        <w:pStyle w:val="answer"/>
        <w:tabs>
          <w:tab w:val="clear" w:pos="-3420"/>
          <w:tab w:val="clear" w:pos="360"/>
          <w:tab w:val="left" w:pos="720"/>
        </w:tabs>
        <w:spacing w:after="0" w:line="480" w:lineRule="exact"/>
        <w:ind w:right="0"/>
      </w:pPr>
      <w:r w:rsidRPr="00D13911">
        <w:rPr>
          <w:szCs w:val="26"/>
        </w:rPr>
        <w:t>A.</w:t>
      </w:r>
      <w:r w:rsidRPr="00D13911">
        <w:rPr>
          <w:szCs w:val="26"/>
        </w:rPr>
        <w:tab/>
      </w:r>
      <w:r w:rsidR="00F957C8">
        <w:rPr>
          <w:szCs w:val="26"/>
        </w:rPr>
        <w:t xml:space="preserve">No.  </w:t>
      </w:r>
      <w:r w:rsidRPr="00D13911">
        <w:t>First,</w:t>
      </w:r>
      <w:r>
        <w:t xml:space="preserve"> </w:t>
      </w:r>
      <w:r w:rsidR="00303089">
        <w:t>a s</w:t>
      </w:r>
      <w:r>
        <w:t xml:space="preserve">ize adjustment </w:t>
      </w:r>
      <w:r w:rsidR="00303089">
        <w:t>would go</w:t>
      </w:r>
      <w:r>
        <w:t xml:space="preserve"> against </w:t>
      </w:r>
      <w:r w:rsidR="00AE041F">
        <w:t xml:space="preserve">long-standing </w:t>
      </w:r>
      <w:r>
        <w:t xml:space="preserve">Commission precedent.  </w:t>
      </w:r>
      <w:r w:rsidR="00AE041F">
        <w:t xml:space="preserve">The Commission has not approved the inclusion of a size premium in an investor-owned electric utility’s authorized ROE for well over 20 years, going back to at least the “unbundling” rate proceedings that were required by </w:t>
      </w:r>
      <w:r w:rsidR="00A91345">
        <w:t>Public Utility Regulatory Act (</w:t>
      </w:r>
      <w:r w:rsidR="00AE041F">
        <w:t>PURA</w:t>
      </w:r>
      <w:r w:rsidR="00A91345">
        <w:t>)</w:t>
      </w:r>
      <w:r w:rsidR="00AE041F">
        <w:t xml:space="preserve"> §§ 39.051 and </w:t>
      </w:r>
      <w:r w:rsidR="00AE041F">
        <w:lastRenderedPageBreak/>
        <w:t xml:space="preserve">39.201 prior to the opening of the Texas competitive electricity market.  There is no compelling evidence in this proceeding that suggests there is any reason to deviate from that long-standing Commission precedent.  </w:t>
      </w:r>
    </w:p>
    <w:p w14:paraId="591D72C6" w14:textId="0F8CC6EF" w:rsidR="00E074FD" w:rsidRDefault="00AE041F" w:rsidP="00033A22">
      <w:pPr>
        <w:spacing w:line="480" w:lineRule="exact"/>
        <w:ind w:left="720" w:firstLine="720"/>
        <w:jc w:val="both"/>
      </w:pPr>
      <w:r>
        <w:t>I would additionally note that, more recently, i</w:t>
      </w:r>
      <w:r w:rsidR="00E074FD">
        <w:t xml:space="preserve">n Docket No. 46245, the Commission rejected </w:t>
      </w:r>
      <w:r w:rsidR="00F957C8">
        <w:t>a water</w:t>
      </w:r>
      <w:r w:rsidR="00E074FD">
        <w:t xml:space="preserve"> utility’s requested ROE, which included a small</w:t>
      </w:r>
      <w:r w:rsidR="005C5FB9">
        <w:t>-</w:t>
      </w:r>
      <w:r w:rsidR="00E074FD">
        <w:t>size risk premium.</w:t>
      </w:r>
      <w:r w:rsidR="00E074FD">
        <w:rPr>
          <w:rStyle w:val="FootnoteReference"/>
        </w:rPr>
        <w:footnoteReference w:id="15"/>
      </w:r>
      <w:r w:rsidR="00E074FD">
        <w:t xml:space="preserve">  </w:t>
      </w:r>
      <w:r w:rsidR="00F957C8">
        <w:t>The utility in that case operated two water systems serving two different subdivisions for a total of 927 water customers, which is significantly less than the 441,000 customers served by EPE.</w:t>
      </w:r>
      <w:r w:rsidR="00F957C8">
        <w:rPr>
          <w:rStyle w:val="FootnoteReference"/>
        </w:rPr>
        <w:footnoteReference w:id="16"/>
      </w:r>
    </w:p>
    <w:p w14:paraId="0BB494FA" w14:textId="7F19825D" w:rsidR="00E074FD" w:rsidRDefault="00E074FD" w:rsidP="00055BC3">
      <w:pPr>
        <w:spacing w:line="480" w:lineRule="exact"/>
        <w:ind w:left="720" w:hanging="576"/>
        <w:jc w:val="both"/>
      </w:pPr>
      <w:r>
        <w:tab/>
        <w:t xml:space="preserve">  </w:t>
      </w:r>
      <w:r w:rsidR="004C2289">
        <w:tab/>
      </w:r>
      <w:r>
        <w:t xml:space="preserve"> </w:t>
      </w:r>
      <w:r w:rsidR="00CB3A44">
        <w:tab/>
      </w:r>
      <w:r w:rsidR="00055BC3">
        <w:t>Second</w:t>
      </w:r>
      <w:r w:rsidRPr="00D13911">
        <w:t xml:space="preserve">, </w:t>
      </w:r>
      <w:r w:rsidR="00055BC3">
        <w:t>electric</w:t>
      </w:r>
      <w:r w:rsidRPr="00D13911">
        <w:t xml:space="preserve"> utilities are regulated, and </w:t>
      </w:r>
      <w:r w:rsidR="002B3121">
        <w:t>a</w:t>
      </w:r>
      <w:r w:rsidR="002B3121" w:rsidRPr="00D13911">
        <w:t xml:space="preserve"> </w:t>
      </w:r>
      <w:r w:rsidRPr="00D13911">
        <w:t xml:space="preserve">utility’s earnings are set by the ratemaking process.  </w:t>
      </w:r>
      <w:r w:rsidR="00F47FE8">
        <w:t xml:space="preserve">This is true regardless of the utility’s size.  </w:t>
      </w:r>
      <w:r w:rsidRPr="00D13911">
        <w:t xml:space="preserve">The utilities are also subject to </w:t>
      </w:r>
      <w:r w:rsidR="002B3121">
        <w:t xml:space="preserve">other, general </w:t>
      </w:r>
      <w:r w:rsidRPr="00D13911">
        <w:t>regulatory oversight.</w:t>
      </w:r>
    </w:p>
    <w:p w14:paraId="4B39AD7C" w14:textId="61987A01" w:rsidR="00E65ED3" w:rsidRDefault="00303089" w:rsidP="00657E85">
      <w:pPr>
        <w:spacing w:line="480" w:lineRule="exact"/>
        <w:ind w:left="720" w:hanging="720"/>
        <w:jc w:val="both"/>
      </w:pPr>
      <w:r>
        <w:tab/>
      </w:r>
      <w:r>
        <w:tab/>
      </w:r>
      <w:r>
        <w:tab/>
      </w:r>
      <w:r>
        <w:tab/>
      </w:r>
      <w:r w:rsidR="005F58C0">
        <w:t>Finally</w:t>
      </w:r>
      <w:r w:rsidR="00E074FD" w:rsidRPr="00D13911">
        <w:t xml:space="preserve">, </w:t>
      </w:r>
      <w:r>
        <w:t>there are</w:t>
      </w:r>
      <w:r w:rsidR="00E074FD" w:rsidRPr="00D13911">
        <w:t xml:space="preserve"> articles examining the size premium in the utility industry</w:t>
      </w:r>
      <w:r w:rsidR="004C2289">
        <w:t xml:space="preserve"> specifically</w:t>
      </w:r>
      <w:r w:rsidR="00E074FD" w:rsidRPr="00D13911">
        <w:t>.  Wallace Davidson states:</w:t>
      </w:r>
    </w:p>
    <w:p w14:paraId="72D27DE7" w14:textId="5034B4EF" w:rsidR="00E074FD" w:rsidRPr="00D13911" w:rsidRDefault="00E074FD" w:rsidP="00033A22">
      <w:pPr>
        <w:spacing w:before="160" w:after="160" w:line="240" w:lineRule="auto"/>
        <w:ind w:left="1440" w:right="893"/>
        <w:jc w:val="both"/>
      </w:pPr>
      <w:r w:rsidRPr="00D13911">
        <w:t>[O]</w:t>
      </w:r>
      <w:proofErr w:type="spellStart"/>
      <w:r w:rsidRPr="00D13911">
        <w:t>ur</w:t>
      </w:r>
      <w:proofErr w:type="spellEnd"/>
      <w:r w:rsidRPr="00D13911">
        <w:t xml:space="preserve"> results suggest that neither large nor small utilities merit a premium because of their size.  The implications of our findings for regulatory officials for regulatory accounting standard-setters are straightforward: we find no evidence among the electric utility industry…to suggest that a utility’s cost of capital or its allowable ARR should be adjusted to reflect firm size.</w:t>
      </w:r>
      <w:r w:rsidRPr="00D13911">
        <w:rPr>
          <w:rStyle w:val="FootnoteReference"/>
        </w:rPr>
        <w:footnoteReference w:id="17"/>
      </w:r>
    </w:p>
    <w:p w14:paraId="6E3EB54E" w14:textId="266608AB" w:rsidR="00204A6E" w:rsidRPr="00D13911" w:rsidRDefault="00E074FD" w:rsidP="00033A22">
      <w:pPr>
        <w:spacing w:after="160" w:line="480" w:lineRule="exact"/>
        <w:ind w:left="720" w:hanging="720"/>
        <w:jc w:val="both"/>
      </w:pPr>
      <w:r w:rsidRPr="00D13911">
        <w:tab/>
        <w:t>In research also specific to public utilities, Professor Annie Wong states:</w:t>
      </w:r>
    </w:p>
    <w:p w14:paraId="52D772D1" w14:textId="3D580AB3" w:rsidR="00E074FD" w:rsidRPr="00D13911" w:rsidRDefault="00E074FD" w:rsidP="00033A22">
      <w:pPr>
        <w:spacing w:after="160" w:line="240" w:lineRule="auto"/>
        <w:ind w:left="1440" w:right="893"/>
        <w:jc w:val="both"/>
      </w:pPr>
      <w:r w:rsidRPr="00D13911">
        <w:t>[G]</w:t>
      </w:r>
      <w:proofErr w:type="spellStart"/>
      <w:r w:rsidRPr="00D13911">
        <w:t>iven</w:t>
      </w:r>
      <w:proofErr w:type="spellEnd"/>
      <w:r w:rsidRPr="00D13911">
        <w:t xml:space="preserve"> firm size, utility stocks are consistently less risky than industrial stocks.  Second, industrial betas tend to decrease with firm size, but utility betas do not.  These findings may be attributed to the fact that all public utilities operate in an environment with regional monopolistic power and </w:t>
      </w:r>
      <w:r w:rsidRPr="00D13911">
        <w:lastRenderedPageBreak/>
        <w:t>regulated financial structure.  As a result, the business and financial risks are very similar among the utilities regardless of their size.  Therefore, utility betas would not necessarily be related to firm size.</w:t>
      </w:r>
    </w:p>
    <w:p w14:paraId="2E5CAFFE" w14:textId="40417251" w:rsidR="00E074FD" w:rsidRPr="00D13911" w:rsidRDefault="00E074FD" w:rsidP="00033A22">
      <w:pPr>
        <w:spacing w:after="160" w:line="480" w:lineRule="exact"/>
        <w:ind w:left="720"/>
        <w:jc w:val="both"/>
      </w:pPr>
      <w:r w:rsidRPr="00D13911">
        <w:t>She then concludes:</w:t>
      </w:r>
    </w:p>
    <w:p w14:paraId="34D8649D" w14:textId="02167571" w:rsidR="00E074FD" w:rsidRDefault="00E074FD" w:rsidP="004375C8">
      <w:pPr>
        <w:spacing w:after="240" w:line="240" w:lineRule="auto"/>
        <w:ind w:left="1440" w:right="893"/>
        <w:jc w:val="both"/>
        <w:rPr>
          <w:vertAlign w:val="superscript"/>
        </w:rPr>
      </w:pPr>
      <w:r w:rsidRPr="00D13911">
        <w:t xml:space="preserve">The object of this study is to examine if the size effect exists in the utility industry.  After controlling for equity values, there is some weak evidence that firm size is a missing factor from the CAPM for industrial but not utility stocks.  This implies that although the size phenomenon has been strongly documented for industrials, </w:t>
      </w:r>
      <w:r w:rsidR="00055BC3">
        <w:t xml:space="preserve">the </w:t>
      </w:r>
      <w:r w:rsidRPr="00D13911">
        <w:t>findings suggest that there is no need to adjust for the firm size in utility regulation.</w:t>
      </w:r>
      <w:r w:rsidRPr="00D13911">
        <w:rPr>
          <w:rStyle w:val="FootnoteReference"/>
        </w:rPr>
        <w:footnoteReference w:id="18"/>
      </w:r>
      <w:r w:rsidRPr="00D13911">
        <w:rPr>
          <w:vertAlign w:val="superscript"/>
        </w:rPr>
        <w:t xml:space="preserve"> </w:t>
      </w:r>
    </w:p>
    <w:p w14:paraId="54C57E6D" w14:textId="481DAC83" w:rsidR="002655AF" w:rsidRDefault="00055BC3" w:rsidP="00E01E5C">
      <w:pPr>
        <w:spacing w:line="480" w:lineRule="exact"/>
        <w:ind w:left="720" w:hanging="720"/>
        <w:jc w:val="both"/>
      </w:pPr>
      <w:r>
        <w:tab/>
      </w:r>
      <w:r>
        <w:tab/>
      </w:r>
      <w:r>
        <w:tab/>
      </w:r>
      <w:r>
        <w:tab/>
        <w:t xml:space="preserve">Ms. Nelson mentions an article by Thomas M. </w:t>
      </w:r>
      <w:proofErr w:type="spellStart"/>
      <w:r>
        <w:t>Zepp</w:t>
      </w:r>
      <w:proofErr w:type="spellEnd"/>
      <w:r>
        <w:t xml:space="preserve"> that “concludes that size premia do exist for smaller utilities.”</w:t>
      </w:r>
      <w:r>
        <w:rPr>
          <w:rStyle w:val="FootnoteReference"/>
        </w:rPr>
        <w:footnoteReference w:id="19"/>
      </w:r>
      <w:r>
        <w:t xml:space="preserve">  However, Mr. </w:t>
      </w:r>
      <w:proofErr w:type="spellStart"/>
      <w:r>
        <w:t>Zepp</w:t>
      </w:r>
      <w:proofErr w:type="spellEnd"/>
      <w:r>
        <w:t xml:space="preserve"> did not recreate Dr. Wong’s study, but merely speculates on other possible reasons for her results and references the results of two other studies.  The first study, completed by California Public Utilities Commission</w:t>
      </w:r>
      <w:r w:rsidR="007F7155">
        <w:t xml:space="preserve"> </w:t>
      </w:r>
      <w:r>
        <w:t xml:space="preserve">in 1991, is not included in the article, and therefore </w:t>
      </w:r>
      <w:r w:rsidR="005C5FB9">
        <w:t>Mr</w:t>
      </w:r>
      <w:r w:rsidR="003906E8">
        <w:t xml:space="preserve">. </w:t>
      </w:r>
      <w:proofErr w:type="spellStart"/>
      <w:r w:rsidR="003906E8">
        <w:t>Zepp’s</w:t>
      </w:r>
      <w:proofErr w:type="spellEnd"/>
      <w:r w:rsidR="003906E8">
        <w:t xml:space="preserve"> opinions cannot be properly evaluated.  The second study examines the effects of size on four water utility companies only.  This article does not contain enough credible evidence to refute Dr. Wong’s findings.</w:t>
      </w:r>
      <w:r w:rsidR="007F7155">
        <w:rPr>
          <w:color w:val="4BACC6" w:themeColor="accent5"/>
        </w:rPr>
        <w:t xml:space="preserve">  </w:t>
      </w:r>
      <w:r w:rsidR="00E074FD" w:rsidRPr="00D13911">
        <w:t xml:space="preserve">For all </w:t>
      </w:r>
      <w:r w:rsidR="002154B9">
        <w:t xml:space="preserve">of </w:t>
      </w:r>
      <w:r w:rsidR="00E074FD" w:rsidRPr="00D13911">
        <w:t xml:space="preserve">these reasons, I </w:t>
      </w:r>
      <w:r w:rsidR="00E074FD">
        <w:t>recommend t</w:t>
      </w:r>
      <w:r w:rsidR="003906E8">
        <w:t xml:space="preserve">hat the </w:t>
      </w:r>
      <w:r w:rsidR="00625B52">
        <w:t xml:space="preserve">Commission not consider the </w:t>
      </w:r>
      <w:r w:rsidR="003906E8">
        <w:t>size effect when setting the authorized rate of return in this proceeding.</w:t>
      </w:r>
    </w:p>
    <w:p w14:paraId="665E6340" w14:textId="6DDBB298" w:rsidR="00E01E5C" w:rsidRDefault="00E01E5C" w:rsidP="00657E85">
      <w:pPr>
        <w:spacing w:line="240" w:lineRule="auto"/>
        <w:ind w:left="720" w:hanging="720"/>
        <w:jc w:val="both"/>
      </w:pPr>
    </w:p>
    <w:p w14:paraId="322FF677" w14:textId="48C0C0ED" w:rsidR="00657E85" w:rsidRDefault="00657E85" w:rsidP="00E01E5C">
      <w:pPr>
        <w:spacing w:line="480" w:lineRule="exact"/>
        <w:ind w:left="720" w:hanging="720"/>
        <w:jc w:val="both"/>
      </w:pPr>
      <w:r>
        <w:rPr>
          <w:b/>
          <w:bCs/>
        </w:rPr>
        <w:t>Q.</w:t>
      </w:r>
      <w:r>
        <w:rPr>
          <w:b/>
          <w:bCs/>
        </w:rPr>
        <w:tab/>
        <w:t>Do you note anything else with regards to the risk of EPE versus the comparable group?</w:t>
      </w:r>
    </w:p>
    <w:p w14:paraId="455E181C" w14:textId="5F481EF3" w:rsidR="00657E85" w:rsidRDefault="00657E85" w:rsidP="00E01E5C">
      <w:pPr>
        <w:spacing w:line="480" w:lineRule="exact"/>
        <w:ind w:left="720" w:hanging="720"/>
        <w:jc w:val="both"/>
      </w:pPr>
      <w:r>
        <w:t>A.</w:t>
      </w:r>
      <w:r>
        <w:tab/>
        <w:t xml:space="preserve">Yes.  </w:t>
      </w:r>
      <w:r w:rsidR="00A91345">
        <w:t xml:space="preserve">Under the provisions of PURA, </w:t>
      </w:r>
      <w:r>
        <w:t xml:space="preserve">EPE has </w:t>
      </w:r>
      <w:r w:rsidR="00A91345">
        <w:t>the opportunity to file applications for a</w:t>
      </w:r>
      <w:r>
        <w:t xml:space="preserve"> distribution cost recovery factor, </w:t>
      </w:r>
      <w:r w:rsidR="00A91345">
        <w:t xml:space="preserve">a </w:t>
      </w:r>
      <w:r>
        <w:t xml:space="preserve">transmission cost recovery factor, and </w:t>
      </w:r>
      <w:r w:rsidR="00A91345">
        <w:t xml:space="preserve">a </w:t>
      </w:r>
      <w:r>
        <w:t xml:space="preserve">generation cost recovery rider.  These </w:t>
      </w:r>
      <w:r w:rsidR="00A91345">
        <w:t xml:space="preserve">cost-recovery mechanisms </w:t>
      </w:r>
      <w:r>
        <w:t>allow a utility to update its rate base between rate cases</w:t>
      </w:r>
      <w:r w:rsidR="00137966">
        <w:t xml:space="preserve"> and provide for faster implementation of updated rates</w:t>
      </w:r>
      <w:r>
        <w:t xml:space="preserve">.  This allows a </w:t>
      </w:r>
      <w:r>
        <w:lastRenderedPageBreak/>
        <w:t xml:space="preserve">utility to reduce regulatory lag and start to recover </w:t>
      </w:r>
      <w:r w:rsidR="00A91345">
        <w:t>a return on</w:t>
      </w:r>
      <w:r w:rsidR="007F7155">
        <w:t>,</w:t>
      </w:r>
      <w:r w:rsidR="00805496">
        <w:t xml:space="preserve"> </w:t>
      </w:r>
      <w:r w:rsidR="00A91345">
        <w:t>and of</w:t>
      </w:r>
      <w:r w:rsidR="007F7155">
        <w:t>,</w:t>
      </w:r>
      <w:r w:rsidR="00A91345">
        <w:t xml:space="preserve"> </w:t>
      </w:r>
      <w:r>
        <w:t xml:space="preserve">its rate base items earlier than if it had to wait to file a full rate case.  This helps reduce risk related to regulatory lag and is not available to all utilities to the same extent as </w:t>
      </w:r>
      <w:r w:rsidR="000673D1">
        <w:t>it is available to utilities operating in</w:t>
      </w:r>
      <w:r w:rsidR="000B2910">
        <w:t xml:space="preserve"> </w:t>
      </w:r>
      <w:r>
        <w:t>Texas.</w:t>
      </w:r>
    </w:p>
    <w:p w14:paraId="3CDF5B06" w14:textId="77777777" w:rsidR="00657E85" w:rsidRDefault="00657E85" w:rsidP="00657E85">
      <w:pPr>
        <w:spacing w:line="240" w:lineRule="auto"/>
        <w:ind w:left="720" w:hanging="720"/>
        <w:jc w:val="both"/>
      </w:pPr>
    </w:p>
    <w:p w14:paraId="4D061AE1" w14:textId="0E6F461A" w:rsidR="00F909F5" w:rsidRPr="001E3ADD" w:rsidRDefault="00657E85" w:rsidP="00657E85">
      <w:pPr>
        <w:pStyle w:val="Heading1"/>
        <w:spacing w:line="480" w:lineRule="atLeast"/>
        <w:ind w:left="720" w:hanging="720"/>
        <w:contextualSpacing/>
        <w:jc w:val="both"/>
        <w:rPr>
          <w:szCs w:val="24"/>
        </w:rPr>
      </w:pPr>
      <w:bookmarkStart w:id="15" w:name="_Toc85035571"/>
      <w:bookmarkEnd w:id="14"/>
      <w:r>
        <w:rPr>
          <w:szCs w:val="24"/>
        </w:rPr>
        <w:t>FINANCIAL PROTECTIVE MEASURES (RING-FENCING)</w:t>
      </w:r>
      <w:bookmarkEnd w:id="15"/>
    </w:p>
    <w:p w14:paraId="5016068E" w14:textId="1CE86365" w:rsidR="00944E19" w:rsidRDefault="00657E85" w:rsidP="00657E85">
      <w:pPr>
        <w:spacing w:line="480" w:lineRule="atLeast"/>
        <w:ind w:left="720" w:hanging="720"/>
        <w:contextualSpacing/>
        <w:jc w:val="both"/>
        <w:rPr>
          <w:b/>
          <w:bCs/>
        </w:rPr>
      </w:pPr>
      <w:r>
        <w:rPr>
          <w:b/>
          <w:bCs/>
        </w:rPr>
        <w:t>Q.</w:t>
      </w:r>
      <w:r>
        <w:rPr>
          <w:b/>
          <w:bCs/>
        </w:rPr>
        <w:tab/>
        <w:t>Does EPE have ring-fencing measures currently in place?</w:t>
      </w:r>
    </w:p>
    <w:p w14:paraId="1A39D9AF" w14:textId="3DE427BF" w:rsidR="00657E85" w:rsidRDefault="00657E85" w:rsidP="00657E85">
      <w:pPr>
        <w:spacing w:line="480" w:lineRule="atLeast"/>
        <w:ind w:left="720" w:hanging="720"/>
        <w:contextualSpacing/>
        <w:jc w:val="both"/>
      </w:pPr>
      <w:r>
        <w:t>A.</w:t>
      </w:r>
      <w:r>
        <w:tab/>
        <w:t>Yes.</w:t>
      </w:r>
      <w:r w:rsidR="00085B87">
        <w:t xml:space="preserve">  In Docket 49849, the Commission required certain protective measures be put in place.</w:t>
      </w:r>
      <w:r w:rsidR="00085B87">
        <w:rPr>
          <w:rStyle w:val="FootnoteReference"/>
        </w:rPr>
        <w:footnoteReference w:id="20"/>
      </w:r>
    </w:p>
    <w:p w14:paraId="6C174848" w14:textId="77777777" w:rsidR="00085B87" w:rsidRPr="00657E85" w:rsidRDefault="00085B87" w:rsidP="00085B87">
      <w:pPr>
        <w:spacing w:line="240" w:lineRule="auto"/>
        <w:ind w:left="720" w:hanging="720"/>
        <w:contextualSpacing/>
        <w:jc w:val="both"/>
      </w:pPr>
    </w:p>
    <w:p w14:paraId="609B75A9" w14:textId="211C5B91" w:rsidR="00085B87" w:rsidRDefault="00F909F5" w:rsidP="00085B87">
      <w:pPr>
        <w:spacing w:line="480" w:lineRule="exact"/>
        <w:ind w:left="720" w:hanging="720"/>
        <w:contextualSpacing/>
        <w:jc w:val="both"/>
        <w:rPr>
          <w:b/>
        </w:rPr>
      </w:pPr>
      <w:r w:rsidRPr="00405D21">
        <w:rPr>
          <w:b/>
        </w:rPr>
        <w:t>Q.</w:t>
      </w:r>
      <w:r w:rsidRPr="00405D21">
        <w:rPr>
          <w:b/>
        </w:rPr>
        <w:tab/>
      </w:r>
      <w:r w:rsidR="00085B87">
        <w:rPr>
          <w:b/>
        </w:rPr>
        <w:t>Have any recent Commission final orders from rate-related proceedings included ring-fencing provisions?</w:t>
      </w:r>
    </w:p>
    <w:p w14:paraId="5704AFF6" w14:textId="303A524A" w:rsidR="00085B87" w:rsidRDefault="00085B87" w:rsidP="00085B87">
      <w:pPr>
        <w:spacing w:line="480" w:lineRule="exact"/>
        <w:ind w:left="720" w:hanging="720"/>
        <w:contextualSpacing/>
        <w:jc w:val="both"/>
        <w:rPr>
          <w:bCs/>
        </w:rPr>
      </w:pPr>
      <w:r>
        <w:rPr>
          <w:bCs/>
        </w:rPr>
        <w:t>A.</w:t>
      </w:r>
      <w:r>
        <w:rPr>
          <w:bCs/>
        </w:rPr>
        <w:tab/>
        <w:t>Yes.  The following three recent Commission final orders from rate-related dockets have included ring-fencing provisions to ensure that Texas ratepayers have meaningful financial protections:</w:t>
      </w:r>
    </w:p>
    <w:p w14:paraId="4873ABA9" w14:textId="77268EAC" w:rsidR="00085B87" w:rsidRPr="003D0CED" w:rsidRDefault="00085B87" w:rsidP="00033A22">
      <w:pPr>
        <w:pStyle w:val="ListParagraph"/>
        <w:numPr>
          <w:ilvl w:val="0"/>
          <w:numId w:val="48"/>
        </w:numPr>
        <w:spacing w:before="160" w:line="240" w:lineRule="auto"/>
        <w:ind w:right="720"/>
        <w:jc w:val="both"/>
        <w:rPr>
          <w:bCs/>
        </w:rPr>
      </w:pPr>
      <w:r>
        <w:rPr>
          <w:bCs/>
        </w:rPr>
        <w:t xml:space="preserve">Docket No. 49421, </w:t>
      </w:r>
      <w:r>
        <w:rPr>
          <w:bCs/>
          <w:i/>
          <w:iCs/>
        </w:rPr>
        <w:t>Application of CenterPoint Energy Houston Electric, LLC for Authority to change Rates;</w:t>
      </w:r>
      <w:r>
        <w:rPr>
          <w:rStyle w:val="FootnoteReference"/>
          <w:bCs/>
          <w:i/>
          <w:iCs/>
        </w:rPr>
        <w:footnoteReference w:id="21"/>
      </w:r>
    </w:p>
    <w:p w14:paraId="1D3C5340" w14:textId="77777777" w:rsidR="003D0CED" w:rsidRPr="00085B87" w:rsidRDefault="003D0CED" w:rsidP="00033A22">
      <w:pPr>
        <w:pStyle w:val="ListParagraph"/>
        <w:spacing w:line="240" w:lineRule="auto"/>
        <w:ind w:left="1512" w:right="720"/>
        <w:jc w:val="both"/>
        <w:rPr>
          <w:bCs/>
        </w:rPr>
      </w:pPr>
    </w:p>
    <w:p w14:paraId="43803349" w14:textId="0038A795" w:rsidR="00085B87" w:rsidRDefault="00085B87" w:rsidP="00033A22">
      <w:pPr>
        <w:pStyle w:val="ListParagraph"/>
        <w:numPr>
          <w:ilvl w:val="0"/>
          <w:numId w:val="48"/>
        </w:numPr>
        <w:spacing w:line="240" w:lineRule="auto"/>
        <w:ind w:right="720"/>
        <w:jc w:val="both"/>
        <w:rPr>
          <w:bCs/>
        </w:rPr>
      </w:pPr>
      <w:r>
        <w:rPr>
          <w:bCs/>
        </w:rPr>
        <w:t xml:space="preserve">Docket No. 49494, </w:t>
      </w:r>
      <w:r>
        <w:rPr>
          <w:bCs/>
          <w:i/>
          <w:iCs/>
        </w:rPr>
        <w:t>Application of AEP Texas Inc. for Authority to Change Rates;</w:t>
      </w:r>
      <w:r>
        <w:rPr>
          <w:rStyle w:val="FootnoteReference"/>
          <w:bCs/>
          <w:i/>
          <w:iCs/>
        </w:rPr>
        <w:footnoteReference w:id="22"/>
      </w:r>
      <w:r w:rsidR="00D50A76">
        <w:rPr>
          <w:bCs/>
          <w:i/>
          <w:iCs/>
        </w:rPr>
        <w:t xml:space="preserve"> </w:t>
      </w:r>
      <w:r>
        <w:rPr>
          <w:bCs/>
        </w:rPr>
        <w:t>and</w:t>
      </w:r>
    </w:p>
    <w:p w14:paraId="7E8B2C27" w14:textId="77777777" w:rsidR="003D0CED" w:rsidRPr="003D0CED" w:rsidRDefault="003D0CED" w:rsidP="00033A22">
      <w:pPr>
        <w:spacing w:line="240" w:lineRule="auto"/>
        <w:ind w:right="720"/>
        <w:jc w:val="both"/>
        <w:rPr>
          <w:bCs/>
        </w:rPr>
      </w:pPr>
    </w:p>
    <w:p w14:paraId="30FA5B38" w14:textId="10B4DDE6" w:rsidR="00085B87" w:rsidRPr="003D0CED" w:rsidRDefault="00085B87" w:rsidP="00033A22">
      <w:pPr>
        <w:pStyle w:val="ListParagraph"/>
        <w:numPr>
          <w:ilvl w:val="0"/>
          <w:numId w:val="48"/>
        </w:numPr>
        <w:spacing w:line="240" w:lineRule="auto"/>
        <w:ind w:right="720"/>
        <w:jc w:val="both"/>
        <w:rPr>
          <w:bCs/>
        </w:rPr>
      </w:pPr>
      <w:r>
        <w:rPr>
          <w:bCs/>
        </w:rPr>
        <w:lastRenderedPageBreak/>
        <w:t xml:space="preserve">Docket No. 49831, </w:t>
      </w:r>
      <w:r>
        <w:rPr>
          <w:bCs/>
          <w:i/>
          <w:iCs/>
        </w:rPr>
        <w:t>Application of Southwestern Public Service Company for Authority to Change Rates.</w:t>
      </w:r>
      <w:r>
        <w:rPr>
          <w:rStyle w:val="FootnoteReference"/>
          <w:bCs/>
          <w:i/>
          <w:iCs/>
        </w:rPr>
        <w:footnoteReference w:id="23"/>
      </w:r>
    </w:p>
    <w:p w14:paraId="05B171DD" w14:textId="77777777" w:rsidR="003D0CED" w:rsidRPr="003D0CED" w:rsidRDefault="003D0CED" w:rsidP="003D0CED">
      <w:pPr>
        <w:spacing w:line="240" w:lineRule="auto"/>
        <w:jc w:val="both"/>
        <w:rPr>
          <w:bCs/>
        </w:rPr>
      </w:pPr>
    </w:p>
    <w:p w14:paraId="64C973CD" w14:textId="783F476D" w:rsidR="00F909F5" w:rsidRPr="00405D21" w:rsidRDefault="00D50A76" w:rsidP="00204A6E">
      <w:pPr>
        <w:spacing w:line="480" w:lineRule="exact"/>
        <w:ind w:left="720" w:hanging="720"/>
        <w:contextualSpacing/>
        <w:jc w:val="both"/>
        <w:rPr>
          <w:b/>
        </w:rPr>
      </w:pPr>
      <w:r>
        <w:rPr>
          <w:b/>
        </w:rPr>
        <w:t>Q.</w:t>
      </w:r>
      <w:r>
        <w:rPr>
          <w:b/>
        </w:rPr>
        <w:tab/>
      </w:r>
      <w:r w:rsidR="00085B87">
        <w:rPr>
          <w:b/>
        </w:rPr>
        <w:t xml:space="preserve">Do you recommend </w:t>
      </w:r>
      <w:r>
        <w:rPr>
          <w:b/>
        </w:rPr>
        <w:t xml:space="preserve">that the Commission require the implementation of </w:t>
      </w:r>
      <w:r w:rsidR="00085B87">
        <w:rPr>
          <w:b/>
        </w:rPr>
        <w:t xml:space="preserve">any additional ring-fencing measures </w:t>
      </w:r>
      <w:r>
        <w:rPr>
          <w:b/>
        </w:rPr>
        <w:t xml:space="preserve">for </w:t>
      </w:r>
      <w:r w:rsidR="005018EE">
        <w:rPr>
          <w:b/>
        </w:rPr>
        <w:t>EPE</w:t>
      </w:r>
      <w:r w:rsidR="00F909F5" w:rsidRPr="00405D21">
        <w:rPr>
          <w:b/>
        </w:rPr>
        <w:t>?</w:t>
      </w:r>
    </w:p>
    <w:p w14:paraId="2E573505" w14:textId="3724D117" w:rsidR="003D0CED" w:rsidRDefault="00F909F5" w:rsidP="003D0CED">
      <w:pPr>
        <w:spacing w:after="240" w:line="480" w:lineRule="atLeast"/>
        <w:ind w:left="720" w:hanging="720"/>
        <w:contextualSpacing/>
        <w:jc w:val="both"/>
      </w:pPr>
      <w:r w:rsidRPr="00405D21">
        <w:t>A.</w:t>
      </w:r>
      <w:r w:rsidRPr="00405D21">
        <w:tab/>
      </w:r>
      <w:r w:rsidR="00085B87">
        <w:t>Yes.  B</w:t>
      </w:r>
      <w:r w:rsidR="003D0CED">
        <w:t xml:space="preserve">elow is a listing of </w:t>
      </w:r>
      <w:r w:rsidR="00141D7B">
        <w:t>three</w:t>
      </w:r>
      <w:r w:rsidR="003D0CED">
        <w:t xml:space="preserve"> additional financial protection measures the Commission used in the various dockets I cited above</w:t>
      </w:r>
      <w:r w:rsidR="005018EE">
        <w:t>, which I recommend that the Commission requires EPE to adopt:</w:t>
      </w:r>
      <w:r w:rsidR="003D0CED">
        <w:t xml:space="preserve">  </w:t>
      </w:r>
    </w:p>
    <w:p w14:paraId="3AD7C071" w14:textId="77777777" w:rsidR="003D0CED" w:rsidRDefault="003D0CED" w:rsidP="003D0CED">
      <w:pPr>
        <w:spacing w:after="240" w:line="480" w:lineRule="atLeast"/>
        <w:ind w:left="720" w:hanging="720"/>
        <w:contextualSpacing/>
        <w:jc w:val="both"/>
      </w:pPr>
    </w:p>
    <w:p w14:paraId="46F5B09F" w14:textId="47DDCB7E" w:rsidR="003D0CED" w:rsidRDefault="003D0CED" w:rsidP="00033A22">
      <w:pPr>
        <w:spacing w:after="240" w:line="240" w:lineRule="auto"/>
        <w:ind w:left="1080" w:right="720" w:hanging="360"/>
        <w:contextualSpacing/>
        <w:jc w:val="both"/>
      </w:pPr>
      <w:r>
        <w:t>1.</w:t>
      </w:r>
      <w:r>
        <w:tab/>
      </w:r>
      <w:r>
        <w:rPr>
          <w:u w:val="single"/>
        </w:rPr>
        <w:t>Regulatory Return on Equity (ROE) Commitment.</w:t>
      </w:r>
      <w:r>
        <w:t xml:space="preserve"> </w:t>
      </w:r>
      <w:r w:rsidR="006E6541">
        <w:t xml:space="preserve"> </w:t>
      </w:r>
      <w:r>
        <w:t>If EPE’s issuer credit rating is not maintained as investment grade by S&amp;P or Moody’s, EPE will not use its below-investment-grade ratings to justify an argument in favor of a higher regulatory ROE.</w:t>
      </w:r>
    </w:p>
    <w:p w14:paraId="58804025" w14:textId="08CB83BE" w:rsidR="003D0CED" w:rsidRDefault="003D0CED" w:rsidP="00033A22">
      <w:pPr>
        <w:spacing w:after="240" w:line="240" w:lineRule="auto"/>
        <w:ind w:left="1080" w:right="720" w:hanging="360"/>
        <w:contextualSpacing/>
        <w:jc w:val="both"/>
      </w:pPr>
    </w:p>
    <w:p w14:paraId="0289BF3B" w14:textId="2EB56C52" w:rsidR="003D0CED" w:rsidRDefault="003D0CED" w:rsidP="00033A22">
      <w:pPr>
        <w:spacing w:after="240" w:line="240" w:lineRule="auto"/>
        <w:ind w:left="1080" w:right="720" w:hanging="360"/>
        <w:contextualSpacing/>
        <w:jc w:val="both"/>
      </w:pPr>
      <w:r>
        <w:t xml:space="preserve">2. </w:t>
      </w:r>
      <w:r>
        <w:tab/>
      </w:r>
      <w:r>
        <w:rPr>
          <w:u w:val="single"/>
        </w:rPr>
        <w:t>No EPE Debt Secured by Non-EPE Assets.</w:t>
      </w:r>
      <w:r>
        <w:t xml:space="preserve">  EPE’s debt will not be secured by non-EPE assets.</w:t>
      </w:r>
    </w:p>
    <w:p w14:paraId="0109555E" w14:textId="695A9E28" w:rsidR="00141D7B" w:rsidRDefault="00141D7B" w:rsidP="00033A22">
      <w:pPr>
        <w:spacing w:after="240" w:line="240" w:lineRule="auto"/>
        <w:ind w:left="1080" w:right="720" w:hanging="360"/>
        <w:contextualSpacing/>
        <w:jc w:val="both"/>
      </w:pPr>
    </w:p>
    <w:p w14:paraId="6FD22802" w14:textId="653D609D" w:rsidR="006E6541" w:rsidRDefault="00141D7B" w:rsidP="006E6541">
      <w:pPr>
        <w:spacing w:after="240" w:line="240" w:lineRule="auto"/>
        <w:ind w:left="1080" w:right="720" w:hanging="360"/>
        <w:contextualSpacing/>
        <w:jc w:val="both"/>
      </w:pPr>
      <w:r>
        <w:t>3.</w:t>
      </w:r>
      <w:r>
        <w:tab/>
      </w:r>
      <w:r>
        <w:rPr>
          <w:u w:val="single"/>
        </w:rPr>
        <w:t>No Commingling of Assets.</w:t>
      </w:r>
      <w:r>
        <w:t xml:space="preserve">  Except for access to the utility money pool and use of shared assets governed by the Commission’s affiliate rules, EPE will not commingle its assets with those of SJH or II</w:t>
      </w:r>
      <w:r w:rsidR="00D67CB6">
        <w:t>F.</w:t>
      </w:r>
    </w:p>
    <w:p w14:paraId="48E2936C" w14:textId="4C297E83" w:rsidR="006E6541" w:rsidRDefault="006E6541" w:rsidP="006E6541">
      <w:pPr>
        <w:spacing w:after="240" w:line="240" w:lineRule="auto"/>
        <w:ind w:left="1080" w:right="720" w:hanging="360"/>
        <w:contextualSpacing/>
        <w:jc w:val="both"/>
      </w:pPr>
    </w:p>
    <w:p w14:paraId="6EE741F3" w14:textId="6C09033F" w:rsidR="006E6541" w:rsidRDefault="006E6541" w:rsidP="00805496">
      <w:pPr>
        <w:spacing w:line="480" w:lineRule="exact"/>
        <w:ind w:left="720"/>
        <w:jc w:val="both"/>
      </w:pPr>
      <w:r>
        <w:t>I additionally recommend that the Commission requires EPE to commit to maintaining the financial protective policies ordered in Docket 49849.</w:t>
      </w:r>
      <w:r>
        <w:rPr>
          <w:rStyle w:val="FootnoteReference"/>
        </w:rPr>
        <w:footnoteReference w:id="24"/>
      </w:r>
    </w:p>
    <w:p w14:paraId="7388FC62" w14:textId="77777777" w:rsidR="006E6541" w:rsidRPr="00141D7B" w:rsidRDefault="006E6541" w:rsidP="00805496">
      <w:pPr>
        <w:spacing w:after="240" w:line="240" w:lineRule="auto"/>
        <w:contextualSpacing/>
        <w:jc w:val="both"/>
      </w:pPr>
    </w:p>
    <w:p w14:paraId="1FA48A72" w14:textId="77777777" w:rsidR="00AF6D89" w:rsidRPr="00405D21" w:rsidRDefault="00AF6D89" w:rsidP="00204A6E">
      <w:pPr>
        <w:spacing w:line="480" w:lineRule="exact"/>
        <w:ind w:left="720" w:hanging="720"/>
        <w:contextualSpacing/>
        <w:jc w:val="both"/>
        <w:rPr>
          <w:b/>
        </w:rPr>
      </w:pPr>
      <w:r w:rsidRPr="00405D21">
        <w:rPr>
          <w:b/>
        </w:rPr>
        <w:t>Q.</w:t>
      </w:r>
      <w:r w:rsidRPr="00405D21">
        <w:rPr>
          <w:b/>
        </w:rPr>
        <w:tab/>
        <w:t>D</w:t>
      </w:r>
      <w:r w:rsidR="00730B02" w:rsidRPr="00405D21">
        <w:rPr>
          <w:b/>
        </w:rPr>
        <w:t>oes this conclude your direct testimony</w:t>
      </w:r>
      <w:r w:rsidRPr="00405D21">
        <w:rPr>
          <w:b/>
        </w:rPr>
        <w:t>?</w:t>
      </w:r>
    </w:p>
    <w:p w14:paraId="065FFA41" w14:textId="4979203F" w:rsidR="00856403" w:rsidRPr="00814A34" w:rsidRDefault="00AF6D89" w:rsidP="00141D7B">
      <w:pPr>
        <w:tabs>
          <w:tab w:val="left" w:pos="-1440"/>
        </w:tabs>
        <w:spacing w:line="480" w:lineRule="exact"/>
        <w:ind w:left="720" w:hanging="720"/>
        <w:contextualSpacing/>
        <w:jc w:val="both"/>
        <w:rPr>
          <w:rFonts w:eastAsia="PMingLiU"/>
        </w:rPr>
      </w:pPr>
      <w:r w:rsidRPr="00405D21">
        <w:t>A.</w:t>
      </w:r>
      <w:r w:rsidRPr="00405D21">
        <w:tab/>
        <w:t xml:space="preserve">Yes.  I </w:t>
      </w:r>
      <w:r w:rsidRPr="00405D21">
        <w:rPr>
          <w:rFonts w:eastAsia="PMingLiU"/>
        </w:rPr>
        <w:t xml:space="preserve">reserve the right to supplement this testimony during the course of the proceeding </w:t>
      </w:r>
      <w:r w:rsidR="00A932AB">
        <w:rPr>
          <w:rFonts w:eastAsia="PMingLiU"/>
        </w:rPr>
        <w:t>if</w:t>
      </w:r>
      <w:r w:rsidR="00A932AB" w:rsidRPr="00405D21">
        <w:rPr>
          <w:rFonts w:eastAsia="PMingLiU"/>
        </w:rPr>
        <w:t xml:space="preserve"> </w:t>
      </w:r>
      <w:r w:rsidRPr="00405D21">
        <w:rPr>
          <w:rFonts w:eastAsia="PMingLiU"/>
        </w:rPr>
        <w:t xml:space="preserve">new evidence </w:t>
      </w:r>
      <w:r w:rsidR="00E43307">
        <w:rPr>
          <w:rFonts w:eastAsia="PMingLiU"/>
        </w:rPr>
        <w:t>becomes available</w:t>
      </w:r>
      <w:r w:rsidRPr="00405D21">
        <w:rPr>
          <w:rFonts w:eastAsia="PMingLiU"/>
        </w:rPr>
        <w:t>.</w:t>
      </w:r>
      <w:r w:rsidRPr="00814A34">
        <w:rPr>
          <w:rFonts w:eastAsia="PMingLiU"/>
        </w:rPr>
        <w:tab/>
      </w:r>
    </w:p>
    <w:sectPr w:rsidR="00856403" w:rsidRPr="00814A34" w:rsidSect="00B973E1">
      <w:headerReference w:type="default" r:id="rId12"/>
      <w:headerReference w:type="first" r:id="rId13"/>
      <w:footerReference w:type="first" r:id="rId14"/>
      <w:pgSz w:w="12240" w:h="15840" w:code="1"/>
      <w:pgMar w:top="720" w:right="1267" w:bottom="720" w:left="1440" w:header="1440" w:footer="360" w:gutter="0"/>
      <w:lnNumType w:countBy="1"/>
      <w:pgNumType w:start="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C9AF" w14:textId="77777777" w:rsidR="003502C3" w:rsidRDefault="003502C3" w:rsidP="00185866">
      <w:r>
        <w:separator/>
      </w:r>
    </w:p>
    <w:p w14:paraId="3F3230B1" w14:textId="77777777" w:rsidR="003502C3" w:rsidRDefault="003502C3"/>
  </w:endnote>
  <w:endnote w:type="continuationSeparator" w:id="0">
    <w:p w14:paraId="4A63FEAD" w14:textId="77777777" w:rsidR="003502C3" w:rsidRDefault="003502C3" w:rsidP="00185866">
      <w:r>
        <w:continuationSeparator/>
      </w:r>
    </w:p>
    <w:p w14:paraId="792E075D" w14:textId="77777777" w:rsidR="003502C3" w:rsidRDefault="00350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altName w:val="Times New Roman"/>
    <w:panose1 w:val="02020803070505020304"/>
    <w:charset w:val="00"/>
    <w:family w:val="roman"/>
    <w:notTrueType/>
    <w:pitch w:val="default"/>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2B068" w14:textId="5AEEC98F" w:rsidR="000C6C7A" w:rsidRDefault="000C6C7A" w:rsidP="008F2C2F">
    <w:pPr>
      <w:pBdr>
        <w:top w:val="single" w:sz="4" w:space="1" w:color="auto"/>
      </w:pBdr>
    </w:pPr>
    <w:r w:rsidRPr="00856403">
      <w:t>Direct Testimony of 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r>
    <w:r>
      <w:tab/>
      <w:t>October</w:t>
    </w:r>
    <w:r w:rsidRPr="00E839F1">
      <w:t xml:space="preserve"> </w:t>
    </w:r>
    <w:r>
      <w:t xml:space="preserve">29, </w:t>
    </w:r>
    <w:r w:rsidRPr="00E839F1">
      <w:t>202</w:t>
    </w:r>
    <w:r>
      <w:t>1</w:t>
    </w:r>
  </w:p>
  <w:p w14:paraId="03E13A80" w14:textId="77777777" w:rsidR="000C6C7A" w:rsidRPr="00A11646" w:rsidRDefault="000C6C7A" w:rsidP="008F2C2F">
    <w:pPr>
      <w:pBdr>
        <w:top w:val="single" w:sz="4" w:space="1" w:color="auto"/>
      </w:pBdr>
      <w:rPr>
        <w:color w:val="00B0F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D7148" w14:textId="02434875" w:rsidR="000C6C7A" w:rsidRDefault="000C6C7A" w:rsidP="008F2C2F">
    <w:pPr>
      <w:pBdr>
        <w:top w:val="single" w:sz="4" w:space="1" w:color="auto"/>
      </w:pBd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right" w:pos="9533"/>
      </w:tabs>
    </w:pPr>
    <w:r w:rsidRPr="00856403">
      <w:t>Direct Testimony of 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r>
    <w:r>
      <w:tab/>
      <w:t>October</w:t>
    </w:r>
    <w:r w:rsidRPr="00E839F1">
      <w:t xml:space="preserve"> </w:t>
    </w:r>
    <w:r>
      <w:t xml:space="preserve">29, </w:t>
    </w:r>
    <w:r w:rsidRPr="00E839F1">
      <w:t>202</w:t>
    </w:r>
    <w:r>
      <w:t>1</w:t>
    </w:r>
    <w:r>
      <w:tab/>
    </w:r>
  </w:p>
  <w:p w14:paraId="0427EBEB" w14:textId="77777777" w:rsidR="000C6C7A" w:rsidRPr="00A11646" w:rsidRDefault="000C6C7A" w:rsidP="008F2C2F">
    <w:pPr>
      <w:pBdr>
        <w:top w:val="single" w:sz="4" w:space="1" w:color="auto"/>
      </w:pBd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right" w:pos="9533"/>
      </w:tabs>
      <w:rPr>
        <w:color w:val="00B0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323DD" w14:textId="77777777" w:rsidR="003502C3" w:rsidRDefault="003502C3" w:rsidP="006C1C01">
      <w:pPr>
        <w:spacing w:line="240" w:lineRule="auto"/>
      </w:pPr>
      <w:r>
        <w:separator/>
      </w:r>
    </w:p>
  </w:footnote>
  <w:footnote w:type="continuationSeparator" w:id="0">
    <w:p w14:paraId="5D3F4212" w14:textId="77777777" w:rsidR="003502C3" w:rsidRDefault="003502C3" w:rsidP="006C1C01">
      <w:pPr>
        <w:spacing w:line="240" w:lineRule="auto"/>
      </w:pPr>
      <w:r>
        <w:continuationSeparator/>
      </w:r>
    </w:p>
  </w:footnote>
  <w:footnote w:id="1">
    <w:p w14:paraId="73DF6387" w14:textId="4F69A042" w:rsidR="000C6C7A" w:rsidRDefault="000C6C7A" w:rsidP="00424A87">
      <w:pPr>
        <w:pStyle w:val="FootnoteText"/>
        <w:spacing w:after="120"/>
        <w:ind w:firstLine="288"/>
        <w:contextualSpacing w:val="0"/>
      </w:pPr>
      <w:r>
        <w:rPr>
          <w:rStyle w:val="FootnoteReference"/>
        </w:rPr>
        <w:footnoteRef/>
      </w:r>
      <w:r w:rsidR="00B554DD">
        <w:t xml:space="preserve">  </w:t>
      </w:r>
      <w:r>
        <w:t xml:space="preserve">Direct Testimony of James Schichtl at 10 (June 1, 2021). </w:t>
      </w:r>
    </w:p>
  </w:footnote>
  <w:footnote w:id="2">
    <w:p w14:paraId="3D8D13E3" w14:textId="2235DF9E" w:rsidR="000C6C7A" w:rsidRDefault="000C6C7A" w:rsidP="00424A87">
      <w:pPr>
        <w:pStyle w:val="FootnoteText"/>
        <w:spacing w:after="120"/>
        <w:ind w:firstLine="288"/>
        <w:contextualSpacing w:val="0"/>
      </w:pPr>
      <w:r>
        <w:rPr>
          <w:rStyle w:val="FootnoteReference"/>
        </w:rPr>
        <w:footnoteRef/>
      </w:r>
      <w:r w:rsidR="00B554DD">
        <w:t xml:space="preserve">  </w:t>
      </w:r>
      <w:r w:rsidRPr="00805496">
        <w:rPr>
          <w:i/>
          <w:iCs/>
        </w:rPr>
        <w:t>Id.</w:t>
      </w:r>
      <w:r>
        <w:t xml:space="preserve"> at 23. </w:t>
      </w:r>
    </w:p>
  </w:footnote>
  <w:footnote w:id="3">
    <w:p w14:paraId="2FEB892C" w14:textId="5771D42C" w:rsidR="000C6C7A" w:rsidRPr="00F03B29" w:rsidRDefault="000C6C7A" w:rsidP="00424A87">
      <w:pPr>
        <w:pStyle w:val="FootnoteText"/>
        <w:spacing w:after="120"/>
        <w:ind w:firstLine="720"/>
        <w:contextualSpacing w:val="0"/>
        <w:jc w:val="both"/>
      </w:pPr>
      <w:r>
        <w:rPr>
          <w:rStyle w:val="FootnoteReference"/>
        </w:rPr>
        <w:footnoteRef/>
      </w:r>
      <w:r>
        <w:t xml:space="preserve"> </w:t>
      </w:r>
      <w:r>
        <w:rPr>
          <w:i/>
          <w:iCs/>
        </w:rPr>
        <w:t xml:space="preserve">Joint Report and Application of El Paso Electric Company, Sun Jupiter Holdings LLC, and IIF US Holding 2 LP for Regulatory Approvals Under PURA §§ 14.101, 39.262, and 39.915, </w:t>
      </w:r>
      <w:r>
        <w:t>Docket No. 49849, Order at Findings of Fact Nos. 60-61 (Jan. 28, 2020).</w:t>
      </w:r>
    </w:p>
  </w:footnote>
  <w:footnote w:id="4">
    <w:p w14:paraId="3308B8A4" w14:textId="4E0F8B35" w:rsidR="000C6C7A" w:rsidRDefault="000C6C7A" w:rsidP="00424A87">
      <w:pPr>
        <w:pStyle w:val="FootnoteText"/>
        <w:spacing w:after="120"/>
        <w:ind w:firstLine="720"/>
        <w:contextualSpacing w:val="0"/>
        <w:jc w:val="both"/>
      </w:pPr>
      <w:r>
        <w:rPr>
          <w:rStyle w:val="FootnoteReference"/>
        </w:rPr>
        <w:footnoteRef/>
      </w:r>
      <w:r>
        <w:t xml:space="preserve"> </w:t>
      </w:r>
      <w:r>
        <w:rPr>
          <w:i/>
          <w:iCs/>
        </w:rPr>
        <w:t>Bluefield Waterworks &amp; Imp. Co. v. Pub. Serv. Comm’n of W. Va.</w:t>
      </w:r>
      <w:r>
        <w:t>, 262 U.S. 679 (1923).</w:t>
      </w:r>
    </w:p>
  </w:footnote>
  <w:footnote w:id="5">
    <w:p w14:paraId="2E3F390F" w14:textId="48899E3A" w:rsidR="000C6C7A" w:rsidRDefault="000C6C7A" w:rsidP="00424A87">
      <w:pPr>
        <w:pStyle w:val="FootnoteText"/>
        <w:spacing w:after="120"/>
        <w:ind w:firstLine="720"/>
        <w:contextualSpacing w:val="0"/>
        <w:jc w:val="both"/>
      </w:pPr>
      <w:r>
        <w:rPr>
          <w:rStyle w:val="FootnoteReference"/>
        </w:rPr>
        <w:footnoteRef/>
      </w:r>
      <w:r>
        <w:t xml:space="preserve"> </w:t>
      </w:r>
      <w:r>
        <w:rPr>
          <w:i/>
          <w:iCs/>
        </w:rPr>
        <w:t xml:space="preserve">Id. </w:t>
      </w:r>
      <w:r>
        <w:t>at 693.</w:t>
      </w:r>
    </w:p>
  </w:footnote>
  <w:footnote w:id="6">
    <w:p w14:paraId="5EDDF0FD" w14:textId="07D0697F" w:rsidR="000C6C7A" w:rsidRDefault="000C6C7A">
      <w:pPr>
        <w:pStyle w:val="FootnoteText"/>
        <w:spacing w:after="120"/>
        <w:ind w:firstLine="720"/>
        <w:contextualSpacing w:val="0"/>
        <w:jc w:val="both"/>
      </w:pPr>
      <w:r>
        <w:rPr>
          <w:rStyle w:val="FootnoteReference"/>
        </w:rPr>
        <w:footnoteRef/>
      </w:r>
      <w:r w:rsidR="00B554DD">
        <w:t xml:space="preserve">  </w:t>
      </w:r>
      <w:r>
        <w:rPr>
          <w:i/>
          <w:iCs/>
        </w:rPr>
        <w:t>Fed. Power Comm’n v. Hope Nat. Gas Co.</w:t>
      </w:r>
      <w:r>
        <w:t xml:space="preserve">, 320 U.S. 591 </w:t>
      </w:r>
      <w:r w:rsidRPr="0088510E">
        <w:t>(1944)</w:t>
      </w:r>
      <w:r>
        <w:t>.</w:t>
      </w:r>
    </w:p>
  </w:footnote>
  <w:footnote w:id="7">
    <w:p w14:paraId="0FFF9005" w14:textId="616BF058" w:rsidR="000C6C7A" w:rsidRDefault="000C6C7A" w:rsidP="000F41AC">
      <w:pPr>
        <w:pStyle w:val="FootnoteText"/>
        <w:spacing w:after="120"/>
        <w:ind w:firstLine="720"/>
        <w:contextualSpacing w:val="0"/>
      </w:pPr>
      <w:r>
        <w:rPr>
          <w:rStyle w:val="FootnoteReference"/>
        </w:rPr>
        <w:footnoteRef/>
      </w:r>
      <w:r w:rsidR="00B554DD">
        <w:t xml:space="preserve">  </w:t>
      </w:r>
      <w:r>
        <w:rPr>
          <w:i/>
          <w:iCs/>
        </w:rPr>
        <w:t xml:space="preserve">Id. </w:t>
      </w:r>
      <w:r>
        <w:t>at 603.</w:t>
      </w:r>
    </w:p>
  </w:footnote>
  <w:footnote w:id="8">
    <w:p w14:paraId="43089C42" w14:textId="498E108A" w:rsidR="000C6C7A" w:rsidRPr="006E3E8B" w:rsidRDefault="000C6C7A" w:rsidP="00424A87">
      <w:pPr>
        <w:pStyle w:val="FootnoteText"/>
        <w:spacing w:after="120"/>
        <w:ind w:firstLine="720"/>
        <w:contextualSpacing w:val="0"/>
        <w:jc w:val="both"/>
      </w:pPr>
      <w:r w:rsidRPr="006E3E8B">
        <w:rPr>
          <w:rStyle w:val="FootnoteReference"/>
        </w:rPr>
        <w:footnoteRef/>
      </w:r>
      <w:r>
        <w:t xml:space="preserve"> </w:t>
      </w:r>
      <w:r w:rsidRPr="00F918E6">
        <w:t>About Value Line</w:t>
      </w:r>
      <w:r>
        <w:t xml:space="preserve"> </w:t>
      </w:r>
      <w:r w:rsidRPr="00F918E6">
        <w:rPr>
          <w:i/>
        </w:rPr>
        <w:t>accessible at</w:t>
      </w:r>
      <w:r>
        <w:t xml:space="preserve"> </w:t>
      </w:r>
      <w:r w:rsidRPr="007F168F">
        <w:t>www</w:t>
      </w:r>
      <w:r>
        <w:t>.valueline.com/about/aboutvalueline.aspx</w:t>
      </w:r>
      <w:r w:rsidRPr="006E3E8B">
        <w:t xml:space="preserve"> </w:t>
      </w:r>
      <w:r>
        <w:t xml:space="preserve">(accessed </w:t>
      </w:r>
      <w:r w:rsidR="00805496">
        <w:t>Oct 5</w:t>
      </w:r>
      <w:r>
        <w:t xml:space="preserve">, 2021). </w:t>
      </w:r>
    </w:p>
  </w:footnote>
  <w:footnote w:id="9">
    <w:p w14:paraId="3C5F74D5" w14:textId="04F05D8D" w:rsidR="000C6C7A" w:rsidRDefault="000C6C7A" w:rsidP="00424A87">
      <w:pPr>
        <w:pStyle w:val="FootnoteText"/>
        <w:spacing w:after="120"/>
        <w:ind w:firstLine="720"/>
        <w:contextualSpacing w:val="0"/>
        <w:jc w:val="both"/>
      </w:pPr>
      <w:r>
        <w:rPr>
          <w:rStyle w:val="FootnoteReference"/>
        </w:rPr>
        <w:footnoteRef/>
      </w:r>
      <w:r w:rsidR="00B554DD">
        <w:t xml:space="preserve">  </w:t>
      </w:r>
      <w:r w:rsidRPr="00685B82">
        <w:t xml:space="preserve">U.S. Bureau of Economic Analysis, Real Gross Domestic Product </w:t>
      </w:r>
      <w:r>
        <w:t>(</w:t>
      </w:r>
      <w:r w:rsidRPr="00685B82">
        <w:t>GDPC1</w:t>
      </w:r>
      <w:r>
        <w:t xml:space="preserve">), retrieved from FRED, Federal Reserve Bank of St. Louis; </w:t>
      </w:r>
      <w:r>
        <w:rPr>
          <w:i/>
        </w:rPr>
        <w:t>accessible at</w:t>
      </w:r>
      <w:r>
        <w:t xml:space="preserve"> </w:t>
      </w:r>
      <w:r w:rsidRPr="00C34FFB">
        <w:t>https://fred.stlouisfed.org/series/GDPC1</w:t>
      </w:r>
      <w:r>
        <w:t xml:space="preserve"> (Oct. 5, 2021).</w:t>
      </w:r>
    </w:p>
  </w:footnote>
  <w:footnote w:id="10">
    <w:p w14:paraId="3511D596" w14:textId="1441AE30" w:rsidR="000C6C7A" w:rsidRPr="00A95E26" w:rsidRDefault="000C6C7A" w:rsidP="00424A87">
      <w:pPr>
        <w:pStyle w:val="FootnoteText"/>
        <w:spacing w:after="120"/>
        <w:ind w:firstLine="720"/>
        <w:contextualSpacing w:val="0"/>
        <w:jc w:val="both"/>
      </w:pPr>
      <w:r w:rsidRPr="00A95E26">
        <w:rPr>
          <w:rStyle w:val="FootnoteReference"/>
        </w:rPr>
        <w:footnoteRef/>
      </w:r>
      <w:r w:rsidR="00B554DD">
        <w:t xml:space="preserve">  </w:t>
      </w:r>
      <w:r w:rsidRPr="00A95E26">
        <w:t>Monetary Policy Report to the Congress, B</w:t>
      </w:r>
      <w:r>
        <w:t>oa</w:t>
      </w:r>
      <w:r w:rsidRPr="00A95E26">
        <w:t>rd of Governors of th</w:t>
      </w:r>
      <w:r>
        <w:t>e Federal Reserve System at 54 (Jul. 9, 2021)</w:t>
      </w:r>
      <w:r w:rsidRPr="00A95E26">
        <w:t>.</w:t>
      </w:r>
    </w:p>
  </w:footnote>
  <w:footnote w:id="11">
    <w:p w14:paraId="412DA32C" w14:textId="2BAAEA1A" w:rsidR="000C6C7A" w:rsidRDefault="000C6C7A" w:rsidP="000B2910">
      <w:pPr>
        <w:pStyle w:val="FootnoteText"/>
        <w:spacing w:after="120"/>
        <w:ind w:left="432" w:firstLine="288"/>
        <w:contextualSpacing w:val="0"/>
      </w:pPr>
      <w:r>
        <w:rPr>
          <w:rStyle w:val="FootnoteReference"/>
        </w:rPr>
        <w:footnoteRef/>
      </w:r>
      <w:r>
        <w:t xml:space="preserve">  Direct Testimony of Lisa D. </w:t>
      </w:r>
      <w:r>
        <w:t>Budtke at 8 (Jun. 1, 2021)</w:t>
      </w:r>
      <w:r w:rsidR="00B554DD">
        <w:t>.</w:t>
      </w:r>
      <w:r>
        <w:t xml:space="preserve"> (Budtke Direct)</w:t>
      </w:r>
      <w:r w:rsidR="00B554DD">
        <w:t>.</w:t>
      </w:r>
      <w:r>
        <w:t xml:space="preserve">; Application, Schedule K-3 at 1. </w:t>
      </w:r>
    </w:p>
  </w:footnote>
  <w:footnote w:id="12">
    <w:p w14:paraId="000E78F7" w14:textId="63B0E12A" w:rsidR="000C6C7A" w:rsidRDefault="000C6C7A" w:rsidP="000B2910">
      <w:pPr>
        <w:pStyle w:val="FootnoteText"/>
        <w:spacing w:after="120"/>
        <w:ind w:firstLine="720"/>
        <w:contextualSpacing w:val="0"/>
      </w:pPr>
      <w:r>
        <w:rPr>
          <w:rStyle w:val="FootnoteReference"/>
        </w:rPr>
        <w:footnoteRef/>
      </w:r>
      <w:r>
        <w:t xml:space="preserve">  </w:t>
      </w:r>
      <w:r>
        <w:t>Budtke Direct at 7; Application, Schedule K-1.</w:t>
      </w:r>
    </w:p>
  </w:footnote>
  <w:footnote w:id="13">
    <w:p w14:paraId="23D10DFD" w14:textId="2B02FCCA" w:rsidR="000C6C7A" w:rsidRDefault="000C6C7A" w:rsidP="000B2910">
      <w:pPr>
        <w:pStyle w:val="FootnoteText"/>
        <w:spacing w:after="120"/>
        <w:ind w:firstLine="720"/>
        <w:contextualSpacing w:val="0"/>
      </w:pPr>
      <w:r>
        <w:rPr>
          <w:rStyle w:val="FootnoteReference"/>
        </w:rPr>
        <w:footnoteRef/>
      </w:r>
      <w:r>
        <w:t xml:space="preserve">  </w:t>
      </w:r>
      <w:r>
        <w:t>Budtke Direct at 8.</w:t>
      </w:r>
    </w:p>
  </w:footnote>
  <w:footnote w:id="14">
    <w:p w14:paraId="644E825F" w14:textId="4B491DD3" w:rsidR="000C6C7A" w:rsidRDefault="000C6C7A" w:rsidP="000B2910">
      <w:pPr>
        <w:pStyle w:val="FootnoteText"/>
        <w:spacing w:after="120"/>
        <w:ind w:left="432" w:firstLine="720"/>
        <w:contextualSpacing w:val="0"/>
        <w:jc w:val="both"/>
      </w:pPr>
      <w:r>
        <w:rPr>
          <w:rStyle w:val="FootnoteReference"/>
        </w:rPr>
        <w:footnoteRef/>
      </w:r>
      <w:r>
        <w:t xml:space="preserve">   Direct Testimony of Jennifer Nelson at 56-61</w:t>
      </w:r>
      <w:r w:rsidR="002F18B7">
        <w:t xml:space="preserve"> </w:t>
      </w:r>
      <w:r>
        <w:t>(Jun. 1, 2021)</w:t>
      </w:r>
      <w:r w:rsidR="002F18B7">
        <w:t>.</w:t>
      </w:r>
      <w:r>
        <w:t xml:space="preserve"> (Nelson Direct). </w:t>
      </w:r>
    </w:p>
  </w:footnote>
  <w:footnote w:id="15">
    <w:p w14:paraId="25C6FDFA" w14:textId="1AD6855E" w:rsidR="000C6C7A" w:rsidRDefault="000C6C7A" w:rsidP="000B2910">
      <w:pPr>
        <w:pStyle w:val="FootnoteText"/>
        <w:spacing w:after="120"/>
        <w:ind w:firstLine="720"/>
        <w:contextualSpacing w:val="0"/>
        <w:jc w:val="both"/>
      </w:pPr>
      <w:r>
        <w:rPr>
          <w:rStyle w:val="FootnoteReference"/>
        </w:rPr>
        <w:footnoteRef/>
      </w:r>
      <w:r w:rsidR="002F18B7">
        <w:t xml:space="preserve">  </w:t>
      </w:r>
      <w:r w:rsidRPr="00857531">
        <w:rPr>
          <w:i/>
        </w:rPr>
        <w:t>Application of Double Diamond Utility Co., Inc, for a Rate/Tariff Change</w:t>
      </w:r>
      <w:r>
        <w:t xml:space="preserve">, Docket No. 46245, Order on Rehearing at 0000061 (Dec. 12, 2019). </w:t>
      </w:r>
    </w:p>
  </w:footnote>
  <w:footnote w:id="16">
    <w:p w14:paraId="2604483D" w14:textId="2FE2AD67" w:rsidR="002F18B7" w:rsidRPr="00F957C8" w:rsidRDefault="000C6C7A" w:rsidP="000B2910">
      <w:pPr>
        <w:pStyle w:val="FootnoteText"/>
        <w:spacing w:after="120"/>
        <w:ind w:firstLine="720"/>
        <w:jc w:val="both"/>
      </w:pPr>
      <w:r>
        <w:rPr>
          <w:rStyle w:val="FootnoteReference"/>
        </w:rPr>
        <w:footnoteRef/>
      </w:r>
      <w:r w:rsidR="002F18B7">
        <w:t xml:space="preserve">  </w:t>
      </w:r>
      <w:r>
        <w:rPr>
          <w:i/>
          <w:iCs/>
        </w:rPr>
        <w:t xml:space="preserve">Id. </w:t>
      </w:r>
      <w:r>
        <w:t>at 0000038, Finding of Fact 3.</w:t>
      </w:r>
    </w:p>
  </w:footnote>
  <w:footnote w:id="17">
    <w:p w14:paraId="47F9E996" w14:textId="26231991" w:rsidR="000C6C7A" w:rsidRDefault="000C6C7A" w:rsidP="000B2910">
      <w:pPr>
        <w:pStyle w:val="FootnoteText"/>
        <w:spacing w:after="120"/>
        <w:ind w:firstLine="720"/>
        <w:contextualSpacing w:val="0"/>
        <w:jc w:val="both"/>
      </w:pPr>
      <w:r>
        <w:rPr>
          <w:rStyle w:val="FootnoteReference"/>
        </w:rPr>
        <w:footnoteRef/>
      </w:r>
      <w:r w:rsidR="002F18B7">
        <w:t xml:space="preserve">  </w:t>
      </w:r>
      <w:r>
        <w:t xml:space="preserve">Wallace Davidson III, Kenneth Ferris, and William </w:t>
      </w:r>
      <w:r>
        <w:t xml:space="preserve">Reichenstein, </w:t>
      </w:r>
      <w:r>
        <w:rPr>
          <w:u w:val="single"/>
        </w:rPr>
        <w:t>A Note on the Relationship Between Firm Size and Return in the Electric Utility Industry</w:t>
      </w:r>
      <w:r>
        <w:t xml:space="preserve">, </w:t>
      </w:r>
      <w:r>
        <w:rPr>
          <w:i/>
        </w:rPr>
        <w:t xml:space="preserve">Journal of Accounting, Auditing, and Finance </w:t>
      </w:r>
      <w:r>
        <w:t>Vol. 8, Issue 3 (1993).</w:t>
      </w:r>
    </w:p>
  </w:footnote>
  <w:footnote w:id="18">
    <w:p w14:paraId="5982F4AF" w14:textId="5066E733" w:rsidR="000C6C7A" w:rsidRDefault="000C6C7A" w:rsidP="000B2910">
      <w:pPr>
        <w:pStyle w:val="FootnoteText"/>
        <w:spacing w:after="120"/>
        <w:ind w:firstLine="720"/>
        <w:contextualSpacing w:val="0"/>
        <w:jc w:val="both"/>
      </w:pPr>
      <w:r>
        <w:rPr>
          <w:rStyle w:val="FootnoteReference"/>
        </w:rPr>
        <w:footnoteRef/>
      </w:r>
      <w:r>
        <w:rPr>
          <w:vertAlign w:val="superscript"/>
        </w:rPr>
        <w:t xml:space="preserve">   </w:t>
      </w:r>
      <w:r>
        <w:t xml:space="preserve">Annie Wong, </w:t>
      </w:r>
      <w:r>
        <w:rPr>
          <w:u w:val="single"/>
        </w:rPr>
        <w:t>Utility Stocks and the Size Effect: An Empirical Analysis</w:t>
      </w:r>
      <w:r>
        <w:t xml:space="preserve">, </w:t>
      </w:r>
      <w:r>
        <w:rPr>
          <w:i/>
        </w:rPr>
        <w:t xml:space="preserve">Journal of the Midwest Finance Association </w:t>
      </w:r>
      <w:r>
        <w:rPr>
          <w:iCs/>
        </w:rPr>
        <w:t xml:space="preserve">at </w:t>
      </w:r>
      <w:r w:rsidRPr="00903B35">
        <w:rPr>
          <w:iCs/>
        </w:rPr>
        <w:t>98</w:t>
      </w:r>
      <w:r>
        <w:rPr>
          <w:i/>
        </w:rPr>
        <w:t xml:space="preserve"> </w:t>
      </w:r>
      <w:r>
        <w:t>(1993).</w:t>
      </w:r>
    </w:p>
  </w:footnote>
  <w:footnote w:id="19">
    <w:p w14:paraId="15438EB7" w14:textId="39931D81" w:rsidR="000C6C7A" w:rsidRDefault="000C6C7A" w:rsidP="000B2910">
      <w:pPr>
        <w:pStyle w:val="FootnoteText"/>
        <w:spacing w:after="120"/>
        <w:ind w:left="432" w:firstLine="288"/>
        <w:jc w:val="both"/>
      </w:pPr>
      <w:r>
        <w:rPr>
          <w:rStyle w:val="FootnoteReference"/>
        </w:rPr>
        <w:footnoteRef/>
      </w:r>
      <w:r>
        <w:t xml:space="preserve">  Nelson Direct at 58.</w:t>
      </w:r>
    </w:p>
  </w:footnote>
  <w:footnote w:id="20">
    <w:p w14:paraId="3844CA78" w14:textId="402A1DEA" w:rsidR="000C6C7A" w:rsidRPr="00F03B29" w:rsidRDefault="000C6C7A" w:rsidP="00033A22">
      <w:pPr>
        <w:pStyle w:val="FootnoteText"/>
        <w:spacing w:after="120"/>
        <w:ind w:firstLine="720"/>
        <w:jc w:val="both"/>
      </w:pPr>
      <w:r>
        <w:rPr>
          <w:rStyle w:val="FootnoteReference"/>
        </w:rPr>
        <w:footnoteRef/>
      </w:r>
      <w:r>
        <w:t xml:space="preserve">   </w:t>
      </w:r>
      <w:r>
        <w:rPr>
          <w:i/>
          <w:iCs/>
        </w:rPr>
        <w:t xml:space="preserve">Joint Report and Application of El Paso Electric Company, Sun Jupiter Holdings LLC, and IIF US Holding 2 LP for Regulatory Approvals Under PURA §§ 14.101, 39.262, and 39.915, </w:t>
      </w:r>
      <w:r>
        <w:t>Docket No. 49849, Order at Findings of Fact Nos. 60-61 (Jan. 28, 2020).</w:t>
      </w:r>
    </w:p>
    <w:p w14:paraId="74D5A220" w14:textId="6563BB9F" w:rsidR="000C6C7A" w:rsidRDefault="000C6C7A">
      <w:pPr>
        <w:pStyle w:val="FootnoteText"/>
      </w:pPr>
    </w:p>
  </w:footnote>
  <w:footnote w:id="21">
    <w:p w14:paraId="12A4CD19" w14:textId="19275E30" w:rsidR="000C6C7A" w:rsidRDefault="000C6C7A" w:rsidP="00085B87">
      <w:pPr>
        <w:pStyle w:val="FootnoteText"/>
        <w:spacing w:after="120"/>
        <w:ind w:firstLine="720"/>
        <w:contextualSpacing w:val="0"/>
        <w:jc w:val="both"/>
      </w:pPr>
      <w:r>
        <w:rPr>
          <w:rStyle w:val="FootnoteReference"/>
        </w:rPr>
        <w:footnoteRef/>
      </w:r>
      <w:r>
        <w:t xml:space="preserve">  </w:t>
      </w:r>
      <w:r w:rsidRPr="003F5E8D">
        <w:rPr>
          <w:i/>
        </w:rPr>
        <w:t xml:space="preserve">Application of </w:t>
      </w:r>
      <w:r>
        <w:rPr>
          <w:i/>
        </w:rPr>
        <w:t>CenterPoint Energy Houston Electric, LLC for Authority to Change Rates</w:t>
      </w:r>
      <w:r>
        <w:rPr>
          <w:iCs/>
        </w:rPr>
        <w:t>, Docket No. 49421, Order, Findings of Fact Nos. 71-87 (Mar. 9, 2020).</w:t>
      </w:r>
    </w:p>
  </w:footnote>
  <w:footnote w:id="22">
    <w:p w14:paraId="76DC21B5" w14:textId="16550E70" w:rsidR="000C6C7A" w:rsidRDefault="000C6C7A" w:rsidP="00085B87">
      <w:pPr>
        <w:pStyle w:val="FootnoteText"/>
        <w:spacing w:after="120"/>
        <w:ind w:firstLine="720"/>
        <w:contextualSpacing w:val="0"/>
        <w:jc w:val="both"/>
      </w:pPr>
      <w:r>
        <w:rPr>
          <w:rStyle w:val="FootnoteReference"/>
        </w:rPr>
        <w:footnoteRef/>
      </w:r>
      <w:r>
        <w:t xml:space="preserve">  </w:t>
      </w:r>
      <w:r w:rsidRPr="00FE049A">
        <w:rPr>
          <w:i/>
        </w:rPr>
        <w:t xml:space="preserve">Application of </w:t>
      </w:r>
      <w:r>
        <w:rPr>
          <w:i/>
        </w:rPr>
        <w:t>AEP Texas Inc. for Authority to Change Rates</w:t>
      </w:r>
      <w:r>
        <w:rPr>
          <w:iCs/>
        </w:rPr>
        <w:t xml:space="preserve">, Docket No. 49494, Order, Findings of Fact Nos. 108-121 (Apr. 6, 2020). </w:t>
      </w:r>
    </w:p>
  </w:footnote>
  <w:footnote w:id="23">
    <w:p w14:paraId="4F3A639E" w14:textId="0378E926" w:rsidR="000C6C7A" w:rsidRDefault="000C6C7A" w:rsidP="000B2910">
      <w:pPr>
        <w:pStyle w:val="FootnoteText"/>
        <w:spacing w:after="120"/>
        <w:ind w:firstLine="720"/>
        <w:contextualSpacing w:val="0"/>
      </w:pPr>
      <w:r>
        <w:rPr>
          <w:rStyle w:val="FootnoteReference"/>
        </w:rPr>
        <w:footnoteRef/>
      </w:r>
      <w:r>
        <w:t xml:space="preserve">  </w:t>
      </w:r>
      <w:r w:rsidRPr="003F5E8D">
        <w:rPr>
          <w:i/>
        </w:rPr>
        <w:t xml:space="preserve">Application of </w:t>
      </w:r>
      <w:r>
        <w:rPr>
          <w:i/>
        </w:rPr>
        <w:t>Southwestern Public Service Company for Authority to Change Rates</w:t>
      </w:r>
      <w:r>
        <w:rPr>
          <w:iCs/>
        </w:rPr>
        <w:t>, Docket No. 49831, Order, Findings of Fact Nos. 75-91 (Aug. 27, 2020).</w:t>
      </w:r>
    </w:p>
  </w:footnote>
  <w:footnote w:id="24">
    <w:p w14:paraId="30CE77E8" w14:textId="314454BF" w:rsidR="000C6C7A" w:rsidRDefault="000C6C7A" w:rsidP="000B2910">
      <w:pPr>
        <w:pStyle w:val="FootnoteText"/>
        <w:spacing w:after="120"/>
        <w:ind w:firstLine="720"/>
        <w:contextualSpacing w:val="0"/>
      </w:pPr>
      <w:r>
        <w:rPr>
          <w:rStyle w:val="FootnoteReference"/>
        </w:rPr>
        <w:footnoteRef/>
      </w:r>
      <w:r>
        <w:t xml:space="preserve"> </w:t>
      </w:r>
      <w:r>
        <w:rPr>
          <w:i/>
          <w:iCs/>
        </w:rPr>
        <w:t xml:space="preserve">Joint Report and Application of El Paso Electric Company, Sun Jupiter Holdings LLC, and IIF US Holding 2 LP for Regulatory Approvals Under PURA §§ 14.101, 39.262, and 39.915, </w:t>
      </w:r>
      <w:r>
        <w:t>Docket No. 49849, Order at Findings of Fact Nos. 60-61 (Jan. 28,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64738" w14:textId="77777777" w:rsidR="000C6C7A" w:rsidRPr="0072041A" w:rsidRDefault="000C6C7A">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D971911" w14:textId="77777777" w:rsidR="000C6C7A" w:rsidRPr="0072041A" w:rsidRDefault="000C6C7A"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1ECC9" w14:textId="77777777" w:rsidR="000C6C7A" w:rsidRPr="0072041A" w:rsidRDefault="000C6C7A"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5485C6FE" w14:textId="77777777" w:rsidR="000C6C7A" w:rsidRPr="0072041A" w:rsidRDefault="000C6C7A"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6B7CD" w14:textId="01242BF2" w:rsidR="000C6C7A" w:rsidRPr="00B327DE" w:rsidRDefault="000C6C7A" w:rsidP="00E65ED3">
    <w:pPr>
      <w:pBdr>
        <w:bottom w:val="single" w:sz="4" w:space="1" w:color="auto"/>
      </w:pBdr>
      <w:spacing w:line="240" w:lineRule="auto"/>
    </w:pPr>
    <w:r w:rsidRPr="00B327DE">
      <w:t>SOAH Docket No. 473-21-2606</w:t>
    </w:r>
  </w:p>
  <w:p w14:paraId="1D360260" w14:textId="234DE17A" w:rsidR="000C6C7A" w:rsidRPr="00220BBE" w:rsidRDefault="000C6C7A" w:rsidP="008E0D83">
    <w:pPr>
      <w:pBdr>
        <w:bottom w:val="single" w:sz="4" w:space="1" w:color="auto"/>
      </w:pBdr>
      <w:spacing w:after="240" w:line="240" w:lineRule="auto"/>
    </w:pPr>
    <w:r w:rsidRPr="00B327DE">
      <w:t>PUC Docket No. 52195</w:t>
    </w:r>
    <w:r w:rsidRPr="00220BBE">
      <w:rPr>
        <w:b/>
      </w:rPr>
      <w:tab/>
    </w:r>
    <w:r>
      <w:rPr>
        <w:b/>
      </w:rPr>
      <w:tab/>
    </w:r>
    <w:r>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B327DE">
      <w:t xml:space="preserve">Page </w:t>
    </w:r>
    <w:r w:rsidRPr="00B327DE">
      <w:rPr>
        <w:rStyle w:val="PageNumber"/>
      </w:rPr>
      <w:fldChar w:fldCharType="begin"/>
    </w:r>
    <w:r w:rsidRPr="00B327DE">
      <w:rPr>
        <w:rStyle w:val="PageNumber"/>
      </w:rPr>
      <w:instrText xml:space="preserve"> PAGE </w:instrText>
    </w:r>
    <w:r w:rsidRPr="00B327DE">
      <w:rPr>
        <w:rStyle w:val="PageNumber"/>
      </w:rPr>
      <w:fldChar w:fldCharType="separate"/>
    </w:r>
    <w:r w:rsidRPr="00B327DE">
      <w:rPr>
        <w:rStyle w:val="PageNumber"/>
        <w:noProof/>
      </w:rPr>
      <w:t>26</w:t>
    </w:r>
    <w:r w:rsidRPr="00B327DE">
      <w:rPr>
        <w:rStyle w:val="PageNumber"/>
      </w:rPr>
      <w:fldChar w:fldCharType="end"/>
    </w:r>
    <w:r w:rsidRPr="00B327DE">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D4831" w14:textId="26494447" w:rsidR="000C6C7A" w:rsidRPr="00B327DE" w:rsidRDefault="000C6C7A" w:rsidP="0043384F">
    <w:pPr>
      <w:pBdr>
        <w:bottom w:val="single" w:sz="4" w:space="1" w:color="auto"/>
      </w:pBdr>
      <w:spacing w:line="240" w:lineRule="auto"/>
    </w:pPr>
    <w:r w:rsidRPr="00B327DE">
      <w:t>SOAH Docket No. 473-21-2606</w:t>
    </w:r>
  </w:p>
  <w:p w14:paraId="33A74A6E" w14:textId="6D1C1183" w:rsidR="000C6C7A" w:rsidRPr="0043384F" w:rsidRDefault="000C6C7A" w:rsidP="008E0D83">
    <w:pPr>
      <w:pBdr>
        <w:bottom w:val="single" w:sz="4" w:space="1" w:color="auto"/>
      </w:pBdr>
      <w:spacing w:after="240" w:line="240" w:lineRule="auto"/>
    </w:pPr>
    <w:r w:rsidRPr="00B327DE">
      <w:t>PUC Docket No. 52195</w:t>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r>
    <w:r w:rsidRPr="00B327DE">
      <w:tab/>
      <w:t xml:space="preserve">Page </w:t>
    </w:r>
    <w:r w:rsidRPr="00B327DE">
      <w:fldChar w:fldCharType="begin"/>
    </w:r>
    <w:r w:rsidRPr="00B327DE">
      <w:instrText xml:space="preserve"> PAGE </w:instrText>
    </w:r>
    <w:r w:rsidRPr="00B327DE">
      <w:fldChar w:fldCharType="separate"/>
    </w:r>
    <w:r w:rsidRPr="00B327DE">
      <w:rPr>
        <w:noProof/>
      </w:rPr>
      <w:t>3</w:t>
    </w:r>
    <w:r w:rsidRPr="00B327DE">
      <w:fldChar w:fldCharType="end"/>
    </w:r>
    <w:r w:rsidRPr="00B327DE">
      <w:t xml:space="preserve"> </w:t>
    </w:r>
    <w:r w:rsidRPr="0043384F">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AE29B72"/>
    <w:lvl w:ilvl="0">
      <w:numFmt w:val="decimal"/>
      <w:pStyle w:val="bulletfor11"/>
      <w:lvlText w:val="*"/>
      <w:lvlJc w:val="left"/>
    </w:lvl>
  </w:abstractNum>
  <w:abstractNum w:abstractNumId="1"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8" w15:restartNumberingAfterBreak="0">
    <w:nsid w:val="00236ECA"/>
    <w:multiLevelType w:val="hybridMultilevel"/>
    <w:tmpl w:val="19E24DE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9"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1" w15:restartNumberingAfterBreak="0">
    <w:nsid w:val="0AE2272D"/>
    <w:multiLevelType w:val="hybridMultilevel"/>
    <w:tmpl w:val="48903A8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EE222F7"/>
    <w:multiLevelType w:val="multilevel"/>
    <w:tmpl w:val="A380DB02"/>
    <w:lvl w:ilvl="0">
      <w:start w:val="1"/>
      <w:numFmt w:val="none"/>
      <w:lvlText w:val="%1Q."/>
      <w:lvlJc w:val="left"/>
      <w:pPr>
        <w:tabs>
          <w:tab w:val="num" w:pos="720"/>
        </w:tabs>
        <w:ind w:left="36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780"/>
        </w:tabs>
        <w:ind w:left="3420" w:firstLine="0"/>
      </w:pPr>
      <w:rPr>
        <w:rFonts w:hint="default"/>
      </w:rPr>
    </w:lvl>
    <w:lvl w:ilvl="4">
      <w:start w:val="1"/>
      <w:numFmt w:val="decimal"/>
      <w:lvlText w:val="(%5)"/>
      <w:lvlJc w:val="left"/>
      <w:pPr>
        <w:tabs>
          <w:tab w:val="num" w:pos="3960"/>
        </w:tabs>
        <w:ind w:left="3600" w:firstLine="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25"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6"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25C7642"/>
    <w:multiLevelType w:val="hybridMultilevel"/>
    <w:tmpl w:val="13F2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9"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09411A"/>
    <w:multiLevelType w:val="hybridMultilevel"/>
    <w:tmpl w:val="9ACC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A647C2"/>
    <w:multiLevelType w:val="multilevel"/>
    <w:tmpl w:val="80245C94"/>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3" w15:restartNumberingAfterBreak="0">
    <w:nsid w:val="306C6619"/>
    <w:multiLevelType w:val="multilevel"/>
    <w:tmpl w:val="B380B6CC"/>
    <w:lvl w:ilvl="0">
      <w:start w:val="1"/>
      <w:numFmt w:val="none"/>
      <w:lvlText w:val="%1A."/>
      <w:lvlJc w:val="left"/>
      <w:pPr>
        <w:tabs>
          <w:tab w:val="num" w:pos="360"/>
        </w:tabs>
        <w:ind w:left="0" w:firstLine="0"/>
      </w:pPr>
      <w:rPr>
        <w:rFonts w:hint="default"/>
        <w:b w:val="0"/>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38927F95"/>
    <w:multiLevelType w:val="multilevel"/>
    <w:tmpl w:val="85C0A01A"/>
    <w:lvl w:ilvl="0">
      <w:start w:val="100"/>
      <w:numFmt w:val="decimal"/>
      <w:lvlText w:val="%1.0"/>
      <w:lvlJc w:val="left"/>
      <w:pPr>
        <w:ind w:left="660" w:hanging="660"/>
      </w:pPr>
      <w:rPr>
        <w:rFonts w:hint="default"/>
        <w:u w:val="double"/>
      </w:rPr>
    </w:lvl>
    <w:lvl w:ilvl="1">
      <w:start w:val="1"/>
      <w:numFmt w:val="decimalZero"/>
      <w:lvlText w:val="%1.%2"/>
      <w:lvlJc w:val="left"/>
      <w:pPr>
        <w:ind w:left="948" w:hanging="6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3E5C0386"/>
    <w:multiLevelType w:val="hybridMultilevel"/>
    <w:tmpl w:val="1F0A2CA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6"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8"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40"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43" w15:restartNumberingAfterBreak="0">
    <w:nsid w:val="69FC3F48"/>
    <w:multiLevelType w:val="hybridMultilevel"/>
    <w:tmpl w:val="C230261A"/>
    <w:lvl w:ilvl="0" w:tplc="037CE778">
      <w:start w:val="100"/>
      <w:numFmt w:val="decimal"/>
      <w:lvlText w:val="%1"/>
      <w:lvlJc w:val="left"/>
      <w:pPr>
        <w:ind w:left="1020" w:hanging="360"/>
      </w:pPr>
      <w:rPr>
        <w:rFonts w:hint="default"/>
        <w:u w:val="double"/>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4" w15:restartNumberingAfterBreak="0">
    <w:nsid w:val="6B4573D4"/>
    <w:multiLevelType w:val="multilevel"/>
    <w:tmpl w:val="ADF89A12"/>
    <w:lvl w:ilvl="0">
      <w:start w:val="11"/>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314338"/>
    <w:multiLevelType w:val="hybridMultilevel"/>
    <w:tmpl w:val="111844B6"/>
    <w:lvl w:ilvl="0" w:tplc="93FEF426">
      <w:start w:val="1"/>
      <w:numFmt w:val="decimal"/>
      <w:lvlText w:val="(%1)"/>
      <w:lvlJc w:val="left"/>
      <w:pPr>
        <w:ind w:left="2406" w:hanging="390"/>
      </w:pPr>
      <w:rPr>
        <w:rFonts w:hint="default"/>
        <w:color w:val="auto"/>
      </w:rPr>
    </w:lvl>
    <w:lvl w:ilvl="1" w:tplc="04090019">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46" w15:restartNumberingAfterBreak="0">
    <w:nsid w:val="751736B2"/>
    <w:multiLevelType w:val="hybridMultilevel"/>
    <w:tmpl w:val="1792975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7"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9" w15:restartNumberingAfterBreak="0">
    <w:nsid w:val="7D4510A2"/>
    <w:multiLevelType w:val="hybridMultilevel"/>
    <w:tmpl w:val="FAFC1A90"/>
    <w:lvl w:ilvl="0" w:tplc="67CA4532">
      <w:start w:val="1"/>
      <w:numFmt w:val="upperLetter"/>
      <w:lvlText w:val="%1."/>
      <w:lvlJc w:val="left"/>
      <w:pPr>
        <w:ind w:left="1440" w:hanging="720"/>
      </w:pPr>
      <w:rPr>
        <w:rFonts w:hint="default"/>
        <w:b/>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3"/>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4"/>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7"/>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8"/>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4"/>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1"/>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2"/>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4"/>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5"/>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6"/>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31"/>
  </w:num>
  <w:num w:numId="15">
    <w:abstractNumId w:val="42"/>
  </w:num>
  <w:num w:numId="16">
    <w:abstractNumId w:val="47"/>
  </w:num>
  <w:num w:numId="17">
    <w:abstractNumId w:val="22"/>
  </w:num>
  <w:num w:numId="18">
    <w:abstractNumId w:val="37"/>
  </w:num>
  <w:num w:numId="19">
    <w:abstractNumId w:val="20"/>
  </w:num>
  <w:num w:numId="20">
    <w:abstractNumId w:val="28"/>
  </w:num>
  <w:num w:numId="21">
    <w:abstractNumId w:val="19"/>
  </w:num>
  <w:num w:numId="22">
    <w:abstractNumId w:val="29"/>
  </w:num>
  <w:num w:numId="23">
    <w:abstractNumId w:val="38"/>
  </w:num>
  <w:num w:numId="24">
    <w:abstractNumId w:val="40"/>
  </w:num>
  <w:num w:numId="25">
    <w:abstractNumId w:val="32"/>
  </w:num>
  <w:num w:numId="26">
    <w:abstractNumId w:val="41"/>
  </w:num>
  <w:num w:numId="27">
    <w:abstractNumId w:val="25"/>
  </w:num>
  <w:num w:numId="28">
    <w:abstractNumId w:val="48"/>
  </w:num>
  <w:num w:numId="29">
    <w:abstractNumId w:val="32"/>
    <w:lvlOverride w:ilvl="0">
      <w:startOverride w:val="4"/>
    </w:lvlOverride>
  </w:num>
  <w:num w:numId="30">
    <w:abstractNumId w:val="23"/>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6"/>
  </w:num>
  <w:num w:numId="34">
    <w:abstractNumId w:val="45"/>
  </w:num>
  <w:num w:numId="35">
    <w:abstractNumId w:val="44"/>
  </w:num>
  <w:num w:numId="36">
    <w:abstractNumId w:val="34"/>
  </w:num>
  <w:num w:numId="37">
    <w:abstractNumId w:val="43"/>
  </w:num>
  <w:num w:numId="38">
    <w:abstractNumId w:val="33"/>
  </w:num>
  <w:num w:numId="39">
    <w:abstractNumId w:val="49"/>
  </w:num>
  <w:num w:numId="40">
    <w:abstractNumId w:val="39"/>
  </w:num>
  <w:num w:numId="41">
    <w:abstractNumId w:val="26"/>
  </w:num>
  <w:num w:numId="42">
    <w:abstractNumId w:val="36"/>
  </w:num>
  <w:num w:numId="43">
    <w:abstractNumId w:val="0"/>
    <w:lvlOverride w:ilvl="0">
      <w:lvl w:ilvl="0">
        <w:start w:val="1"/>
        <w:numFmt w:val="bullet"/>
        <w:pStyle w:val="bulletfor11"/>
        <w:lvlText w:val=""/>
        <w:lvlJc w:val="left"/>
        <w:pPr>
          <w:ind w:left="1080" w:hanging="360"/>
        </w:pPr>
        <w:rPr>
          <w:rFonts w:ascii="Symbol" w:hAnsi="Symbol" w:hint="default"/>
        </w:rPr>
      </w:lvl>
    </w:lvlOverride>
  </w:num>
  <w:num w:numId="44">
    <w:abstractNumId w:val="21"/>
  </w:num>
  <w:num w:numId="45">
    <w:abstractNumId w:val="27"/>
  </w:num>
  <w:num w:numId="46">
    <w:abstractNumId w:val="24"/>
  </w:num>
  <w:num w:numId="47">
    <w:abstractNumId w:val="3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proofState w:spelling="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48E3"/>
    <w:rsid w:val="00005A15"/>
    <w:rsid w:val="00010BB2"/>
    <w:rsid w:val="00011B60"/>
    <w:rsid w:val="00014239"/>
    <w:rsid w:val="00016943"/>
    <w:rsid w:val="00016C08"/>
    <w:rsid w:val="00021D2A"/>
    <w:rsid w:val="00021D91"/>
    <w:rsid w:val="000227DD"/>
    <w:rsid w:val="00025088"/>
    <w:rsid w:val="00026898"/>
    <w:rsid w:val="000323C4"/>
    <w:rsid w:val="00033A22"/>
    <w:rsid w:val="00033CF1"/>
    <w:rsid w:val="00033F47"/>
    <w:rsid w:val="00034C9C"/>
    <w:rsid w:val="0004075C"/>
    <w:rsid w:val="00046E11"/>
    <w:rsid w:val="0005370C"/>
    <w:rsid w:val="000549E8"/>
    <w:rsid w:val="00055601"/>
    <w:rsid w:val="00055BC3"/>
    <w:rsid w:val="00057B54"/>
    <w:rsid w:val="00057FDF"/>
    <w:rsid w:val="0006004A"/>
    <w:rsid w:val="00064075"/>
    <w:rsid w:val="000646DF"/>
    <w:rsid w:val="000647A2"/>
    <w:rsid w:val="000667AB"/>
    <w:rsid w:val="000673D1"/>
    <w:rsid w:val="00070D2C"/>
    <w:rsid w:val="00072EFC"/>
    <w:rsid w:val="000735A2"/>
    <w:rsid w:val="0007462F"/>
    <w:rsid w:val="00074CDB"/>
    <w:rsid w:val="00076D66"/>
    <w:rsid w:val="00080DEA"/>
    <w:rsid w:val="00081146"/>
    <w:rsid w:val="000856D1"/>
    <w:rsid w:val="00085B87"/>
    <w:rsid w:val="00086E15"/>
    <w:rsid w:val="00087FEE"/>
    <w:rsid w:val="0009177A"/>
    <w:rsid w:val="00094A83"/>
    <w:rsid w:val="00096512"/>
    <w:rsid w:val="000A1465"/>
    <w:rsid w:val="000A22F1"/>
    <w:rsid w:val="000A3433"/>
    <w:rsid w:val="000A420D"/>
    <w:rsid w:val="000A4798"/>
    <w:rsid w:val="000A4E32"/>
    <w:rsid w:val="000A6EE5"/>
    <w:rsid w:val="000B0D4D"/>
    <w:rsid w:val="000B2910"/>
    <w:rsid w:val="000B35A2"/>
    <w:rsid w:val="000B4A6D"/>
    <w:rsid w:val="000B727D"/>
    <w:rsid w:val="000C03EC"/>
    <w:rsid w:val="000C1754"/>
    <w:rsid w:val="000C29FB"/>
    <w:rsid w:val="000C37B8"/>
    <w:rsid w:val="000C5CA3"/>
    <w:rsid w:val="000C6C7A"/>
    <w:rsid w:val="000C77C8"/>
    <w:rsid w:val="000D0008"/>
    <w:rsid w:val="000D15C5"/>
    <w:rsid w:val="000D27CE"/>
    <w:rsid w:val="000D7A32"/>
    <w:rsid w:val="000E1BDE"/>
    <w:rsid w:val="000E408F"/>
    <w:rsid w:val="000E500B"/>
    <w:rsid w:val="000E5917"/>
    <w:rsid w:val="000E6D76"/>
    <w:rsid w:val="000E794B"/>
    <w:rsid w:val="000F2C73"/>
    <w:rsid w:val="000F41AC"/>
    <w:rsid w:val="000F47CC"/>
    <w:rsid w:val="000F5E22"/>
    <w:rsid w:val="0010243A"/>
    <w:rsid w:val="00103868"/>
    <w:rsid w:val="00106759"/>
    <w:rsid w:val="00107F10"/>
    <w:rsid w:val="00111CED"/>
    <w:rsid w:val="0011253A"/>
    <w:rsid w:val="001137E4"/>
    <w:rsid w:val="0011672D"/>
    <w:rsid w:val="00120E9A"/>
    <w:rsid w:val="0012255D"/>
    <w:rsid w:val="00123F02"/>
    <w:rsid w:val="00127B19"/>
    <w:rsid w:val="00131107"/>
    <w:rsid w:val="00132E7E"/>
    <w:rsid w:val="00133358"/>
    <w:rsid w:val="00134998"/>
    <w:rsid w:val="00136F8F"/>
    <w:rsid w:val="00137966"/>
    <w:rsid w:val="00140053"/>
    <w:rsid w:val="00140E1E"/>
    <w:rsid w:val="00141A69"/>
    <w:rsid w:val="00141D7B"/>
    <w:rsid w:val="00142A5C"/>
    <w:rsid w:val="001435A6"/>
    <w:rsid w:val="00146723"/>
    <w:rsid w:val="00147715"/>
    <w:rsid w:val="00147FD1"/>
    <w:rsid w:val="001530F6"/>
    <w:rsid w:val="00154625"/>
    <w:rsid w:val="0015511A"/>
    <w:rsid w:val="001555C7"/>
    <w:rsid w:val="00156167"/>
    <w:rsid w:val="0015662E"/>
    <w:rsid w:val="00160B51"/>
    <w:rsid w:val="00162887"/>
    <w:rsid w:val="00162A63"/>
    <w:rsid w:val="0016455E"/>
    <w:rsid w:val="00170853"/>
    <w:rsid w:val="00171D70"/>
    <w:rsid w:val="0017598F"/>
    <w:rsid w:val="00175B5F"/>
    <w:rsid w:val="00176D1C"/>
    <w:rsid w:val="00177836"/>
    <w:rsid w:val="00177F59"/>
    <w:rsid w:val="00182427"/>
    <w:rsid w:val="001824E6"/>
    <w:rsid w:val="00182B04"/>
    <w:rsid w:val="00183ACA"/>
    <w:rsid w:val="00183CCD"/>
    <w:rsid w:val="00185866"/>
    <w:rsid w:val="00185F44"/>
    <w:rsid w:val="001873AB"/>
    <w:rsid w:val="0019278F"/>
    <w:rsid w:val="001932BA"/>
    <w:rsid w:val="00194049"/>
    <w:rsid w:val="001A2C22"/>
    <w:rsid w:val="001A373C"/>
    <w:rsid w:val="001A3FEC"/>
    <w:rsid w:val="001A4799"/>
    <w:rsid w:val="001A5B0A"/>
    <w:rsid w:val="001A6858"/>
    <w:rsid w:val="001A7AB7"/>
    <w:rsid w:val="001B4832"/>
    <w:rsid w:val="001B4E13"/>
    <w:rsid w:val="001B5F22"/>
    <w:rsid w:val="001C1E27"/>
    <w:rsid w:val="001C22B4"/>
    <w:rsid w:val="001C597C"/>
    <w:rsid w:val="001C71F2"/>
    <w:rsid w:val="001D2A94"/>
    <w:rsid w:val="001D2AED"/>
    <w:rsid w:val="001D3927"/>
    <w:rsid w:val="001D5306"/>
    <w:rsid w:val="001D78FD"/>
    <w:rsid w:val="001E1563"/>
    <w:rsid w:val="001E1CA9"/>
    <w:rsid w:val="001E32D3"/>
    <w:rsid w:val="001E3ADD"/>
    <w:rsid w:val="001E3BFD"/>
    <w:rsid w:val="001E4001"/>
    <w:rsid w:val="001F09FD"/>
    <w:rsid w:val="001F0F57"/>
    <w:rsid w:val="001F1D25"/>
    <w:rsid w:val="001F20D4"/>
    <w:rsid w:val="001F3D9E"/>
    <w:rsid w:val="001F3EE6"/>
    <w:rsid w:val="001F4E97"/>
    <w:rsid w:val="001F7201"/>
    <w:rsid w:val="00200B56"/>
    <w:rsid w:val="0020299C"/>
    <w:rsid w:val="0020357F"/>
    <w:rsid w:val="00204A6E"/>
    <w:rsid w:val="0020537B"/>
    <w:rsid w:val="0021055A"/>
    <w:rsid w:val="00213074"/>
    <w:rsid w:val="00213E71"/>
    <w:rsid w:val="00214F55"/>
    <w:rsid w:val="002154B9"/>
    <w:rsid w:val="002154F6"/>
    <w:rsid w:val="0022289D"/>
    <w:rsid w:val="00230ADF"/>
    <w:rsid w:val="00231264"/>
    <w:rsid w:val="00231452"/>
    <w:rsid w:val="00234B19"/>
    <w:rsid w:val="00243779"/>
    <w:rsid w:val="00244014"/>
    <w:rsid w:val="00246F74"/>
    <w:rsid w:val="00246F77"/>
    <w:rsid w:val="002503D0"/>
    <w:rsid w:val="002536AE"/>
    <w:rsid w:val="00254318"/>
    <w:rsid w:val="0025462F"/>
    <w:rsid w:val="00254A76"/>
    <w:rsid w:val="00254E7F"/>
    <w:rsid w:val="002564E4"/>
    <w:rsid w:val="00260F16"/>
    <w:rsid w:val="00263EA6"/>
    <w:rsid w:val="002655AF"/>
    <w:rsid w:val="00266064"/>
    <w:rsid w:val="0026610A"/>
    <w:rsid w:val="00266168"/>
    <w:rsid w:val="002669DB"/>
    <w:rsid w:val="002672A0"/>
    <w:rsid w:val="002708E6"/>
    <w:rsid w:val="002731E1"/>
    <w:rsid w:val="0027387B"/>
    <w:rsid w:val="002742FB"/>
    <w:rsid w:val="00274F44"/>
    <w:rsid w:val="00275144"/>
    <w:rsid w:val="00283CE2"/>
    <w:rsid w:val="002856F4"/>
    <w:rsid w:val="002904BF"/>
    <w:rsid w:val="00290A06"/>
    <w:rsid w:val="00295C5C"/>
    <w:rsid w:val="00295C88"/>
    <w:rsid w:val="00296428"/>
    <w:rsid w:val="002973CC"/>
    <w:rsid w:val="002A25DD"/>
    <w:rsid w:val="002A7CBC"/>
    <w:rsid w:val="002B09A8"/>
    <w:rsid w:val="002B1A7C"/>
    <w:rsid w:val="002B3121"/>
    <w:rsid w:val="002B5C3D"/>
    <w:rsid w:val="002C5563"/>
    <w:rsid w:val="002C7677"/>
    <w:rsid w:val="002C7E43"/>
    <w:rsid w:val="002D128B"/>
    <w:rsid w:val="002D1332"/>
    <w:rsid w:val="002D148E"/>
    <w:rsid w:val="002D1C04"/>
    <w:rsid w:val="002D2879"/>
    <w:rsid w:val="002D3724"/>
    <w:rsid w:val="002D6AB3"/>
    <w:rsid w:val="002E7350"/>
    <w:rsid w:val="002E7475"/>
    <w:rsid w:val="002E7524"/>
    <w:rsid w:val="002F0132"/>
    <w:rsid w:val="002F18B7"/>
    <w:rsid w:val="002F23CE"/>
    <w:rsid w:val="002F59DF"/>
    <w:rsid w:val="002F6066"/>
    <w:rsid w:val="00301F48"/>
    <w:rsid w:val="00303089"/>
    <w:rsid w:val="003066ED"/>
    <w:rsid w:val="0030786F"/>
    <w:rsid w:val="00307955"/>
    <w:rsid w:val="003131C3"/>
    <w:rsid w:val="00316641"/>
    <w:rsid w:val="00316883"/>
    <w:rsid w:val="00326266"/>
    <w:rsid w:val="00331749"/>
    <w:rsid w:val="00331875"/>
    <w:rsid w:val="00331DC9"/>
    <w:rsid w:val="00334FE8"/>
    <w:rsid w:val="00340017"/>
    <w:rsid w:val="003417F8"/>
    <w:rsid w:val="00343CB4"/>
    <w:rsid w:val="0034544C"/>
    <w:rsid w:val="003502C3"/>
    <w:rsid w:val="003503F5"/>
    <w:rsid w:val="00350C11"/>
    <w:rsid w:val="003575C6"/>
    <w:rsid w:val="00360BB7"/>
    <w:rsid w:val="00360C73"/>
    <w:rsid w:val="00360ED2"/>
    <w:rsid w:val="00361A52"/>
    <w:rsid w:val="0036585F"/>
    <w:rsid w:val="00366A46"/>
    <w:rsid w:val="00366E4D"/>
    <w:rsid w:val="0037431A"/>
    <w:rsid w:val="003743AD"/>
    <w:rsid w:val="00374681"/>
    <w:rsid w:val="00374E12"/>
    <w:rsid w:val="003756BD"/>
    <w:rsid w:val="00376209"/>
    <w:rsid w:val="00377F76"/>
    <w:rsid w:val="003815B4"/>
    <w:rsid w:val="00383A9B"/>
    <w:rsid w:val="00383AE9"/>
    <w:rsid w:val="00385DDD"/>
    <w:rsid w:val="003906E8"/>
    <w:rsid w:val="00390A6E"/>
    <w:rsid w:val="003927EA"/>
    <w:rsid w:val="00395901"/>
    <w:rsid w:val="00395F86"/>
    <w:rsid w:val="00397C22"/>
    <w:rsid w:val="003A0722"/>
    <w:rsid w:val="003A2CA2"/>
    <w:rsid w:val="003A69F6"/>
    <w:rsid w:val="003A76DD"/>
    <w:rsid w:val="003A7CCB"/>
    <w:rsid w:val="003B2F6B"/>
    <w:rsid w:val="003B47BC"/>
    <w:rsid w:val="003B6BC0"/>
    <w:rsid w:val="003B7CC1"/>
    <w:rsid w:val="003C2B2E"/>
    <w:rsid w:val="003C5380"/>
    <w:rsid w:val="003D01DB"/>
    <w:rsid w:val="003D0AD4"/>
    <w:rsid w:val="003D0CED"/>
    <w:rsid w:val="003D66D6"/>
    <w:rsid w:val="003E2473"/>
    <w:rsid w:val="003E39E4"/>
    <w:rsid w:val="003E3CE2"/>
    <w:rsid w:val="003F23CA"/>
    <w:rsid w:val="003F5318"/>
    <w:rsid w:val="003F5FA6"/>
    <w:rsid w:val="00400F22"/>
    <w:rsid w:val="0040190C"/>
    <w:rsid w:val="00401C5C"/>
    <w:rsid w:val="004053EC"/>
    <w:rsid w:val="00405D21"/>
    <w:rsid w:val="00406633"/>
    <w:rsid w:val="00407028"/>
    <w:rsid w:val="004079F2"/>
    <w:rsid w:val="004124B1"/>
    <w:rsid w:val="0041381F"/>
    <w:rsid w:val="00414D98"/>
    <w:rsid w:val="004161A4"/>
    <w:rsid w:val="00417054"/>
    <w:rsid w:val="00417FB0"/>
    <w:rsid w:val="004204AA"/>
    <w:rsid w:val="00420FD0"/>
    <w:rsid w:val="00424443"/>
    <w:rsid w:val="00424A87"/>
    <w:rsid w:val="004261EC"/>
    <w:rsid w:val="004278E7"/>
    <w:rsid w:val="0043066F"/>
    <w:rsid w:val="0043140E"/>
    <w:rsid w:val="00431A37"/>
    <w:rsid w:val="004322A4"/>
    <w:rsid w:val="00432650"/>
    <w:rsid w:val="0043384F"/>
    <w:rsid w:val="00436265"/>
    <w:rsid w:val="004375C8"/>
    <w:rsid w:val="004379E6"/>
    <w:rsid w:val="00437A61"/>
    <w:rsid w:val="00441A81"/>
    <w:rsid w:val="00442BBD"/>
    <w:rsid w:val="00443806"/>
    <w:rsid w:val="004445D6"/>
    <w:rsid w:val="00446F31"/>
    <w:rsid w:val="00447DAC"/>
    <w:rsid w:val="004510A5"/>
    <w:rsid w:val="00454101"/>
    <w:rsid w:val="00457839"/>
    <w:rsid w:val="0046088F"/>
    <w:rsid w:val="00464D1C"/>
    <w:rsid w:val="00467D5A"/>
    <w:rsid w:val="00470AFA"/>
    <w:rsid w:val="00470BA2"/>
    <w:rsid w:val="00471FF1"/>
    <w:rsid w:val="0047318D"/>
    <w:rsid w:val="00475831"/>
    <w:rsid w:val="0047702D"/>
    <w:rsid w:val="004779CE"/>
    <w:rsid w:val="004803D1"/>
    <w:rsid w:val="00484EC6"/>
    <w:rsid w:val="00490A22"/>
    <w:rsid w:val="00492121"/>
    <w:rsid w:val="0049345D"/>
    <w:rsid w:val="004950C6"/>
    <w:rsid w:val="00495528"/>
    <w:rsid w:val="00496D6C"/>
    <w:rsid w:val="00496F82"/>
    <w:rsid w:val="004A2BB4"/>
    <w:rsid w:val="004A415F"/>
    <w:rsid w:val="004B5CFF"/>
    <w:rsid w:val="004B7320"/>
    <w:rsid w:val="004C2289"/>
    <w:rsid w:val="004C4905"/>
    <w:rsid w:val="004C568B"/>
    <w:rsid w:val="004C5F79"/>
    <w:rsid w:val="004D3864"/>
    <w:rsid w:val="004D3EA9"/>
    <w:rsid w:val="004D4572"/>
    <w:rsid w:val="004D5546"/>
    <w:rsid w:val="004D5BB8"/>
    <w:rsid w:val="004E4A14"/>
    <w:rsid w:val="004E4C4C"/>
    <w:rsid w:val="004E621C"/>
    <w:rsid w:val="004E6B5D"/>
    <w:rsid w:val="004E6D77"/>
    <w:rsid w:val="004F0C23"/>
    <w:rsid w:val="004F5108"/>
    <w:rsid w:val="005018EE"/>
    <w:rsid w:val="00502C38"/>
    <w:rsid w:val="00504898"/>
    <w:rsid w:val="00506353"/>
    <w:rsid w:val="00513948"/>
    <w:rsid w:val="00516071"/>
    <w:rsid w:val="00516499"/>
    <w:rsid w:val="0051673F"/>
    <w:rsid w:val="0052007C"/>
    <w:rsid w:val="00520867"/>
    <w:rsid w:val="00521DA2"/>
    <w:rsid w:val="005247F9"/>
    <w:rsid w:val="0052537F"/>
    <w:rsid w:val="005256C0"/>
    <w:rsid w:val="00526255"/>
    <w:rsid w:val="00526720"/>
    <w:rsid w:val="00532D0B"/>
    <w:rsid w:val="005330E3"/>
    <w:rsid w:val="00535126"/>
    <w:rsid w:val="005364B4"/>
    <w:rsid w:val="005400EC"/>
    <w:rsid w:val="005413CA"/>
    <w:rsid w:val="00544DC3"/>
    <w:rsid w:val="00546774"/>
    <w:rsid w:val="00547477"/>
    <w:rsid w:val="00552916"/>
    <w:rsid w:val="0055556B"/>
    <w:rsid w:val="00560ABF"/>
    <w:rsid w:val="005618F1"/>
    <w:rsid w:val="00562BA4"/>
    <w:rsid w:val="00563E7C"/>
    <w:rsid w:val="00564B0B"/>
    <w:rsid w:val="005652D0"/>
    <w:rsid w:val="00565533"/>
    <w:rsid w:val="00566892"/>
    <w:rsid w:val="0057253F"/>
    <w:rsid w:val="00573572"/>
    <w:rsid w:val="00574DCC"/>
    <w:rsid w:val="00575849"/>
    <w:rsid w:val="005769C8"/>
    <w:rsid w:val="00577E15"/>
    <w:rsid w:val="00580502"/>
    <w:rsid w:val="00580B86"/>
    <w:rsid w:val="00580FB7"/>
    <w:rsid w:val="00583549"/>
    <w:rsid w:val="00592B1C"/>
    <w:rsid w:val="00593AC1"/>
    <w:rsid w:val="00593E09"/>
    <w:rsid w:val="00594E8A"/>
    <w:rsid w:val="005A1145"/>
    <w:rsid w:val="005A27FA"/>
    <w:rsid w:val="005A2EFA"/>
    <w:rsid w:val="005A3A71"/>
    <w:rsid w:val="005A43FB"/>
    <w:rsid w:val="005A494F"/>
    <w:rsid w:val="005B29FB"/>
    <w:rsid w:val="005B4EA7"/>
    <w:rsid w:val="005B5306"/>
    <w:rsid w:val="005C05DC"/>
    <w:rsid w:val="005C3757"/>
    <w:rsid w:val="005C5FB9"/>
    <w:rsid w:val="005C63BC"/>
    <w:rsid w:val="005C7373"/>
    <w:rsid w:val="005D00A5"/>
    <w:rsid w:val="005D1849"/>
    <w:rsid w:val="005D2152"/>
    <w:rsid w:val="005D22EE"/>
    <w:rsid w:val="005D33B4"/>
    <w:rsid w:val="005D3B45"/>
    <w:rsid w:val="005D7605"/>
    <w:rsid w:val="005D771E"/>
    <w:rsid w:val="005E128A"/>
    <w:rsid w:val="005E1A5E"/>
    <w:rsid w:val="005E7398"/>
    <w:rsid w:val="005E75D8"/>
    <w:rsid w:val="005F0546"/>
    <w:rsid w:val="005F1E9B"/>
    <w:rsid w:val="005F2C8A"/>
    <w:rsid w:val="005F33AE"/>
    <w:rsid w:val="005F58C0"/>
    <w:rsid w:val="005F6C02"/>
    <w:rsid w:val="005F7F3F"/>
    <w:rsid w:val="00601F55"/>
    <w:rsid w:val="006042B8"/>
    <w:rsid w:val="00605D7C"/>
    <w:rsid w:val="00614B66"/>
    <w:rsid w:val="006173E2"/>
    <w:rsid w:val="00623116"/>
    <w:rsid w:val="00625094"/>
    <w:rsid w:val="00625B52"/>
    <w:rsid w:val="006273AB"/>
    <w:rsid w:val="00627B94"/>
    <w:rsid w:val="00627EAB"/>
    <w:rsid w:val="00633A0F"/>
    <w:rsid w:val="0063639F"/>
    <w:rsid w:val="00637E25"/>
    <w:rsid w:val="0064286D"/>
    <w:rsid w:val="00644013"/>
    <w:rsid w:val="00647B9D"/>
    <w:rsid w:val="00650872"/>
    <w:rsid w:val="00652527"/>
    <w:rsid w:val="00655447"/>
    <w:rsid w:val="00657057"/>
    <w:rsid w:val="00657367"/>
    <w:rsid w:val="00657A48"/>
    <w:rsid w:val="00657E85"/>
    <w:rsid w:val="00662A01"/>
    <w:rsid w:val="00664CB4"/>
    <w:rsid w:val="00666357"/>
    <w:rsid w:val="006668DA"/>
    <w:rsid w:val="006722FC"/>
    <w:rsid w:val="0067261D"/>
    <w:rsid w:val="006745CE"/>
    <w:rsid w:val="00676299"/>
    <w:rsid w:val="00681B3A"/>
    <w:rsid w:val="00681D1E"/>
    <w:rsid w:val="00681D9A"/>
    <w:rsid w:val="00682447"/>
    <w:rsid w:val="00683336"/>
    <w:rsid w:val="006900B7"/>
    <w:rsid w:val="006950D4"/>
    <w:rsid w:val="0069575C"/>
    <w:rsid w:val="006A037F"/>
    <w:rsid w:val="006A1243"/>
    <w:rsid w:val="006A186C"/>
    <w:rsid w:val="006A44DF"/>
    <w:rsid w:val="006A518A"/>
    <w:rsid w:val="006A51D7"/>
    <w:rsid w:val="006B0B31"/>
    <w:rsid w:val="006B31D2"/>
    <w:rsid w:val="006B3336"/>
    <w:rsid w:val="006B3B06"/>
    <w:rsid w:val="006C10BD"/>
    <w:rsid w:val="006C1C01"/>
    <w:rsid w:val="006C233D"/>
    <w:rsid w:val="006C6710"/>
    <w:rsid w:val="006D081C"/>
    <w:rsid w:val="006D4C94"/>
    <w:rsid w:val="006D671C"/>
    <w:rsid w:val="006E2419"/>
    <w:rsid w:val="006E489A"/>
    <w:rsid w:val="006E4B4C"/>
    <w:rsid w:val="006E5B05"/>
    <w:rsid w:val="006E6541"/>
    <w:rsid w:val="006E68FA"/>
    <w:rsid w:val="006E6DF7"/>
    <w:rsid w:val="006F03BA"/>
    <w:rsid w:val="006F138E"/>
    <w:rsid w:val="006F4A52"/>
    <w:rsid w:val="006F5040"/>
    <w:rsid w:val="006F7F77"/>
    <w:rsid w:val="00700A2D"/>
    <w:rsid w:val="0070520D"/>
    <w:rsid w:val="00705430"/>
    <w:rsid w:val="007058D6"/>
    <w:rsid w:val="0070654C"/>
    <w:rsid w:val="00706D72"/>
    <w:rsid w:val="00706EBF"/>
    <w:rsid w:val="00711154"/>
    <w:rsid w:val="007112D9"/>
    <w:rsid w:val="00711725"/>
    <w:rsid w:val="00713383"/>
    <w:rsid w:val="00714027"/>
    <w:rsid w:val="00714F3E"/>
    <w:rsid w:val="00715DE0"/>
    <w:rsid w:val="007206CB"/>
    <w:rsid w:val="007233A8"/>
    <w:rsid w:val="00726655"/>
    <w:rsid w:val="00726D20"/>
    <w:rsid w:val="00730B02"/>
    <w:rsid w:val="00731879"/>
    <w:rsid w:val="00732777"/>
    <w:rsid w:val="00733713"/>
    <w:rsid w:val="00735D6B"/>
    <w:rsid w:val="0073612D"/>
    <w:rsid w:val="00737658"/>
    <w:rsid w:val="00742C80"/>
    <w:rsid w:val="007470A0"/>
    <w:rsid w:val="00747A32"/>
    <w:rsid w:val="00751CD1"/>
    <w:rsid w:val="007528E5"/>
    <w:rsid w:val="00754BAA"/>
    <w:rsid w:val="00754C22"/>
    <w:rsid w:val="00754DBA"/>
    <w:rsid w:val="00761DEC"/>
    <w:rsid w:val="00762A04"/>
    <w:rsid w:val="00764915"/>
    <w:rsid w:val="00765AE2"/>
    <w:rsid w:val="0077028F"/>
    <w:rsid w:val="00773776"/>
    <w:rsid w:val="007765B3"/>
    <w:rsid w:val="00776D9C"/>
    <w:rsid w:val="00782932"/>
    <w:rsid w:val="00785047"/>
    <w:rsid w:val="0078663A"/>
    <w:rsid w:val="00791011"/>
    <w:rsid w:val="007949F4"/>
    <w:rsid w:val="007955E7"/>
    <w:rsid w:val="00796F8F"/>
    <w:rsid w:val="00797914"/>
    <w:rsid w:val="007A09D1"/>
    <w:rsid w:val="007A3CAC"/>
    <w:rsid w:val="007A4387"/>
    <w:rsid w:val="007A4C09"/>
    <w:rsid w:val="007B0AF0"/>
    <w:rsid w:val="007B1118"/>
    <w:rsid w:val="007B3184"/>
    <w:rsid w:val="007B49C9"/>
    <w:rsid w:val="007B6E8C"/>
    <w:rsid w:val="007B7B57"/>
    <w:rsid w:val="007B7FDB"/>
    <w:rsid w:val="007C3261"/>
    <w:rsid w:val="007C403F"/>
    <w:rsid w:val="007C551C"/>
    <w:rsid w:val="007C57CA"/>
    <w:rsid w:val="007D1026"/>
    <w:rsid w:val="007D314F"/>
    <w:rsid w:val="007D34D9"/>
    <w:rsid w:val="007E337F"/>
    <w:rsid w:val="007E3AA7"/>
    <w:rsid w:val="007E4AF3"/>
    <w:rsid w:val="007E5400"/>
    <w:rsid w:val="007E62A0"/>
    <w:rsid w:val="007F1EFF"/>
    <w:rsid w:val="007F1F8F"/>
    <w:rsid w:val="007F3A5D"/>
    <w:rsid w:val="007F6175"/>
    <w:rsid w:val="007F6F19"/>
    <w:rsid w:val="007F7155"/>
    <w:rsid w:val="00800E04"/>
    <w:rsid w:val="008028A9"/>
    <w:rsid w:val="008039C8"/>
    <w:rsid w:val="00803C17"/>
    <w:rsid w:val="00804EA7"/>
    <w:rsid w:val="00805496"/>
    <w:rsid w:val="008061FD"/>
    <w:rsid w:val="00814A34"/>
    <w:rsid w:val="00814E55"/>
    <w:rsid w:val="00814E9A"/>
    <w:rsid w:val="00820367"/>
    <w:rsid w:val="008204FB"/>
    <w:rsid w:val="00820D3A"/>
    <w:rsid w:val="00822CE3"/>
    <w:rsid w:val="00822D05"/>
    <w:rsid w:val="00822EBE"/>
    <w:rsid w:val="00824816"/>
    <w:rsid w:val="0082681B"/>
    <w:rsid w:val="00826EB7"/>
    <w:rsid w:val="00830295"/>
    <w:rsid w:val="00830669"/>
    <w:rsid w:val="00831FA0"/>
    <w:rsid w:val="008338A1"/>
    <w:rsid w:val="00835081"/>
    <w:rsid w:val="00836224"/>
    <w:rsid w:val="00840A9D"/>
    <w:rsid w:val="00843A0B"/>
    <w:rsid w:val="00844C58"/>
    <w:rsid w:val="00844E17"/>
    <w:rsid w:val="008463A0"/>
    <w:rsid w:val="00846CF7"/>
    <w:rsid w:val="008515FA"/>
    <w:rsid w:val="00851816"/>
    <w:rsid w:val="008522D3"/>
    <w:rsid w:val="008531D5"/>
    <w:rsid w:val="008534E0"/>
    <w:rsid w:val="0085368F"/>
    <w:rsid w:val="008536DC"/>
    <w:rsid w:val="00853923"/>
    <w:rsid w:val="00856403"/>
    <w:rsid w:val="00857531"/>
    <w:rsid w:val="0085799B"/>
    <w:rsid w:val="00861C2D"/>
    <w:rsid w:val="00866EF3"/>
    <w:rsid w:val="0086796A"/>
    <w:rsid w:val="00870C71"/>
    <w:rsid w:val="00870D9E"/>
    <w:rsid w:val="00870F4A"/>
    <w:rsid w:val="00872AFC"/>
    <w:rsid w:val="00872DF4"/>
    <w:rsid w:val="00874365"/>
    <w:rsid w:val="00875837"/>
    <w:rsid w:val="008822D9"/>
    <w:rsid w:val="00883058"/>
    <w:rsid w:val="0089408F"/>
    <w:rsid w:val="00894EA8"/>
    <w:rsid w:val="008974D6"/>
    <w:rsid w:val="00897603"/>
    <w:rsid w:val="008A1411"/>
    <w:rsid w:val="008A43C7"/>
    <w:rsid w:val="008A56DF"/>
    <w:rsid w:val="008A71E9"/>
    <w:rsid w:val="008B0CB1"/>
    <w:rsid w:val="008B2E1C"/>
    <w:rsid w:val="008B3ECD"/>
    <w:rsid w:val="008B4D28"/>
    <w:rsid w:val="008B4D6F"/>
    <w:rsid w:val="008B584C"/>
    <w:rsid w:val="008B6501"/>
    <w:rsid w:val="008B6879"/>
    <w:rsid w:val="008B7EDF"/>
    <w:rsid w:val="008C1379"/>
    <w:rsid w:val="008C2E3F"/>
    <w:rsid w:val="008C31D2"/>
    <w:rsid w:val="008C4CCA"/>
    <w:rsid w:val="008C6861"/>
    <w:rsid w:val="008D25CC"/>
    <w:rsid w:val="008D2B95"/>
    <w:rsid w:val="008D6397"/>
    <w:rsid w:val="008D7ED7"/>
    <w:rsid w:val="008E0D83"/>
    <w:rsid w:val="008E24DC"/>
    <w:rsid w:val="008E3459"/>
    <w:rsid w:val="008E51B9"/>
    <w:rsid w:val="008F0F28"/>
    <w:rsid w:val="008F2C2F"/>
    <w:rsid w:val="008F4C68"/>
    <w:rsid w:val="009019EF"/>
    <w:rsid w:val="009024E7"/>
    <w:rsid w:val="00903438"/>
    <w:rsid w:val="00903B35"/>
    <w:rsid w:val="009048D6"/>
    <w:rsid w:val="00907835"/>
    <w:rsid w:val="00914379"/>
    <w:rsid w:val="00915652"/>
    <w:rsid w:val="00921D16"/>
    <w:rsid w:val="00925638"/>
    <w:rsid w:val="0093165A"/>
    <w:rsid w:val="009325BE"/>
    <w:rsid w:val="0093286D"/>
    <w:rsid w:val="00933561"/>
    <w:rsid w:val="0093459E"/>
    <w:rsid w:val="00935BE1"/>
    <w:rsid w:val="0094155E"/>
    <w:rsid w:val="00941AED"/>
    <w:rsid w:val="009424D1"/>
    <w:rsid w:val="00943582"/>
    <w:rsid w:val="00943B3C"/>
    <w:rsid w:val="00944E19"/>
    <w:rsid w:val="009540F8"/>
    <w:rsid w:val="00954677"/>
    <w:rsid w:val="00956FF8"/>
    <w:rsid w:val="00961DAA"/>
    <w:rsid w:val="009620EB"/>
    <w:rsid w:val="00962815"/>
    <w:rsid w:val="009650E5"/>
    <w:rsid w:val="00967873"/>
    <w:rsid w:val="00970BB8"/>
    <w:rsid w:val="0097597E"/>
    <w:rsid w:val="009759A0"/>
    <w:rsid w:val="00977BF6"/>
    <w:rsid w:val="00980541"/>
    <w:rsid w:val="00980CEA"/>
    <w:rsid w:val="00983B74"/>
    <w:rsid w:val="00986EFA"/>
    <w:rsid w:val="009900CA"/>
    <w:rsid w:val="009906C6"/>
    <w:rsid w:val="009922AD"/>
    <w:rsid w:val="0099290C"/>
    <w:rsid w:val="00993DAF"/>
    <w:rsid w:val="0099440E"/>
    <w:rsid w:val="00994E2A"/>
    <w:rsid w:val="009A04FC"/>
    <w:rsid w:val="009A0538"/>
    <w:rsid w:val="009A177A"/>
    <w:rsid w:val="009A1C47"/>
    <w:rsid w:val="009A1EE8"/>
    <w:rsid w:val="009A2C4A"/>
    <w:rsid w:val="009A3F60"/>
    <w:rsid w:val="009A57D5"/>
    <w:rsid w:val="009A7419"/>
    <w:rsid w:val="009B087B"/>
    <w:rsid w:val="009B1D4C"/>
    <w:rsid w:val="009B7DA3"/>
    <w:rsid w:val="009C4983"/>
    <w:rsid w:val="009C579C"/>
    <w:rsid w:val="009C6446"/>
    <w:rsid w:val="009D066B"/>
    <w:rsid w:val="009D4A17"/>
    <w:rsid w:val="009D5634"/>
    <w:rsid w:val="009D699C"/>
    <w:rsid w:val="009E36D9"/>
    <w:rsid w:val="009E522A"/>
    <w:rsid w:val="009E5534"/>
    <w:rsid w:val="009E6334"/>
    <w:rsid w:val="009E7212"/>
    <w:rsid w:val="009E72B7"/>
    <w:rsid w:val="009F0798"/>
    <w:rsid w:val="009F1418"/>
    <w:rsid w:val="009F1E15"/>
    <w:rsid w:val="009F35FE"/>
    <w:rsid w:val="009F40EC"/>
    <w:rsid w:val="009F5AF4"/>
    <w:rsid w:val="009F6F2A"/>
    <w:rsid w:val="00A035EB"/>
    <w:rsid w:val="00A053B3"/>
    <w:rsid w:val="00A0544E"/>
    <w:rsid w:val="00A11646"/>
    <w:rsid w:val="00A15EC6"/>
    <w:rsid w:val="00A166D7"/>
    <w:rsid w:val="00A20D8D"/>
    <w:rsid w:val="00A21B63"/>
    <w:rsid w:val="00A22675"/>
    <w:rsid w:val="00A22F97"/>
    <w:rsid w:val="00A234FD"/>
    <w:rsid w:val="00A23AEF"/>
    <w:rsid w:val="00A2496A"/>
    <w:rsid w:val="00A27BD1"/>
    <w:rsid w:val="00A3046B"/>
    <w:rsid w:val="00A3079B"/>
    <w:rsid w:val="00A34173"/>
    <w:rsid w:val="00A352E8"/>
    <w:rsid w:val="00A3633B"/>
    <w:rsid w:val="00A36525"/>
    <w:rsid w:val="00A42F78"/>
    <w:rsid w:val="00A4494F"/>
    <w:rsid w:val="00A44A4F"/>
    <w:rsid w:val="00A451CB"/>
    <w:rsid w:val="00A46FBF"/>
    <w:rsid w:val="00A50EAD"/>
    <w:rsid w:val="00A519C1"/>
    <w:rsid w:val="00A52C31"/>
    <w:rsid w:val="00A5411D"/>
    <w:rsid w:val="00A55C73"/>
    <w:rsid w:val="00A62A79"/>
    <w:rsid w:val="00A65CD6"/>
    <w:rsid w:val="00A65CEE"/>
    <w:rsid w:val="00A6650C"/>
    <w:rsid w:val="00A73B34"/>
    <w:rsid w:val="00A73E3C"/>
    <w:rsid w:val="00A74EF1"/>
    <w:rsid w:val="00A751B1"/>
    <w:rsid w:val="00A7570E"/>
    <w:rsid w:val="00A76569"/>
    <w:rsid w:val="00A7720F"/>
    <w:rsid w:val="00A77DD9"/>
    <w:rsid w:val="00A81322"/>
    <w:rsid w:val="00A85B8B"/>
    <w:rsid w:val="00A85DFA"/>
    <w:rsid w:val="00A863E9"/>
    <w:rsid w:val="00A86D0E"/>
    <w:rsid w:val="00A87E64"/>
    <w:rsid w:val="00A906A2"/>
    <w:rsid w:val="00A91345"/>
    <w:rsid w:val="00A91D68"/>
    <w:rsid w:val="00A932AB"/>
    <w:rsid w:val="00A94D00"/>
    <w:rsid w:val="00A94D9B"/>
    <w:rsid w:val="00AA0B0E"/>
    <w:rsid w:val="00AA49DF"/>
    <w:rsid w:val="00AA52D2"/>
    <w:rsid w:val="00AA63E8"/>
    <w:rsid w:val="00AA7D23"/>
    <w:rsid w:val="00AB05F8"/>
    <w:rsid w:val="00AB11EC"/>
    <w:rsid w:val="00AB4751"/>
    <w:rsid w:val="00AB4E45"/>
    <w:rsid w:val="00AB6018"/>
    <w:rsid w:val="00AC3047"/>
    <w:rsid w:val="00AC452D"/>
    <w:rsid w:val="00AC6DE2"/>
    <w:rsid w:val="00AD4801"/>
    <w:rsid w:val="00AD6464"/>
    <w:rsid w:val="00AD7DA7"/>
    <w:rsid w:val="00AE041F"/>
    <w:rsid w:val="00AE6FD1"/>
    <w:rsid w:val="00AF0615"/>
    <w:rsid w:val="00AF0F05"/>
    <w:rsid w:val="00AF1835"/>
    <w:rsid w:val="00AF29A3"/>
    <w:rsid w:val="00AF2C9F"/>
    <w:rsid w:val="00AF3396"/>
    <w:rsid w:val="00AF43B8"/>
    <w:rsid w:val="00AF5A46"/>
    <w:rsid w:val="00AF60A1"/>
    <w:rsid w:val="00AF6303"/>
    <w:rsid w:val="00AF6514"/>
    <w:rsid w:val="00AF6637"/>
    <w:rsid w:val="00AF6D89"/>
    <w:rsid w:val="00B00F1F"/>
    <w:rsid w:val="00B0296B"/>
    <w:rsid w:val="00B04D67"/>
    <w:rsid w:val="00B05317"/>
    <w:rsid w:val="00B06491"/>
    <w:rsid w:val="00B06E2B"/>
    <w:rsid w:val="00B07D0A"/>
    <w:rsid w:val="00B10839"/>
    <w:rsid w:val="00B1259D"/>
    <w:rsid w:val="00B125F2"/>
    <w:rsid w:val="00B127AA"/>
    <w:rsid w:val="00B12BDD"/>
    <w:rsid w:val="00B133CF"/>
    <w:rsid w:val="00B13C33"/>
    <w:rsid w:val="00B1489C"/>
    <w:rsid w:val="00B1750A"/>
    <w:rsid w:val="00B20604"/>
    <w:rsid w:val="00B21C12"/>
    <w:rsid w:val="00B24541"/>
    <w:rsid w:val="00B24726"/>
    <w:rsid w:val="00B247A7"/>
    <w:rsid w:val="00B2645A"/>
    <w:rsid w:val="00B31331"/>
    <w:rsid w:val="00B327DE"/>
    <w:rsid w:val="00B35193"/>
    <w:rsid w:val="00B35E7B"/>
    <w:rsid w:val="00B372EA"/>
    <w:rsid w:val="00B40E7A"/>
    <w:rsid w:val="00B4251B"/>
    <w:rsid w:val="00B42782"/>
    <w:rsid w:val="00B45855"/>
    <w:rsid w:val="00B47419"/>
    <w:rsid w:val="00B50B45"/>
    <w:rsid w:val="00B514D6"/>
    <w:rsid w:val="00B5249A"/>
    <w:rsid w:val="00B52C4B"/>
    <w:rsid w:val="00B5439E"/>
    <w:rsid w:val="00B547ED"/>
    <w:rsid w:val="00B554DD"/>
    <w:rsid w:val="00B61AF7"/>
    <w:rsid w:val="00B65100"/>
    <w:rsid w:val="00B66BC3"/>
    <w:rsid w:val="00B67435"/>
    <w:rsid w:val="00B704A4"/>
    <w:rsid w:val="00B70F8C"/>
    <w:rsid w:val="00B714A2"/>
    <w:rsid w:val="00B71E2B"/>
    <w:rsid w:val="00B74AA3"/>
    <w:rsid w:val="00B74BA7"/>
    <w:rsid w:val="00B759DC"/>
    <w:rsid w:val="00B77148"/>
    <w:rsid w:val="00B77970"/>
    <w:rsid w:val="00B821E3"/>
    <w:rsid w:val="00B860DD"/>
    <w:rsid w:val="00B87D30"/>
    <w:rsid w:val="00B9035C"/>
    <w:rsid w:val="00B954D1"/>
    <w:rsid w:val="00B973E1"/>
    <w:rsid w:val="00B97ABA"/>
    <w:rsid w:val="00BA1363"/>
    <w:rsid w:val="00BA53EC"/>
    <w:rsid w:val="00BB4A2E"/>
    <w:rsid w:val="00BB6E5E"/>
    <w:rsid w:val="00BB7BD7"/>
    <w:rsid w:val="00BC32C3"/>
    <w:rsid w:val="00BC65B1"/>
    <w:rsid w:val="00BD0B70"/>
    <w:rsid w:val="00BD0FCF"/>
    <w:rsid w:val="00BD10E4"/>
    <w:rsid w:val="00BD209B"/>
    <w:rsid w:val="00BD734A"/>
    <w:rsid w:val="00BE295D"/>
    <w:rsid w:val="00BE3AD3"/>
    <w:rsid w:val="00BE40A3"/>
    <w:rsid w:val="00BE6571"/>
    <w:rsid w:val="00BE7600"/>
    <w:rsid w:val="00BF19DD"/>
    <w:rsid w:val="00BF2F1F"/>
    <w:rsid w:val="00BF4BC4"/>
    <w:rsid w:val="00BF5DB7"/>
    <w:rsid w:val="00BF6724"/>
    <w:rsid w:val="00BF6751"/>
    <w:rsid w:val="00BF7946"/>
    <w:rsid w:val="00BF7E3E"/>
    <w:rsid w:val="00C00053"/>
    <w:rsid w:val="00C00EDE"/>
    <w:rsid w:val="00C01585"/>
    <w:rsid w:val="00C02451"/>
    <w:rsid w:val="00C026F7"/>
    <w:rsid w:val="00C110B0"/>
    <w:rsid w:val="00C11DFB"/>
    <w:rsid w:val="00C12C13"/>
    <w:rsid w:val="00C15E57"/>
    <w:rsid w:val="00C16712"/>
    <w:rsid w:val="00C16E23"/>
    <w:rsid w:val="00C21945"/>
    <w:rsid w:val="00C30B20"/>
    <w:rsid w:val="00C3263B"/>
    <w:rsid w:val="00C37A84"/>
    <w:rsid w:val="00C40DD8"/>
    <w:rsid w:val="00C416FA"/>
    <w:rsid w:val="00C41704"/>
    <w:rsid w:val="00C41971"/>
    <w:rsid w:val="00C4379C"/>
    <w:rsid w:val="00C44062"/>
    <w:rsid w:val="00C443B5"/>
    <w:rsid w:val="00C460BA"/>
    <w:rsid w:val="00C466F7"/>
    <w:rsid w:val="00C53BBB"/>
    <w:rsid w:val="00C57A4E"/>
    <w:rsid w:val="00C605EB"/>
    <w:rsid w:val="00C60FA8"/>
    <w:rsid w:val="00C61376"/>
    <w:rsid w:val="00C63528"/>
    <w:rsid w:val="00C67928"/>
    <w:rsid w:val="00C67C9A"/>
    <w:rsid w:val="00C7074A"/>
    <w:rsid w:val="00C732B2"/>
    <w:rsid w:val="00C741A2"/>
    <w:rsid w:val="00C760BD"/>
    <w:rsid w:val="00C83967"/>
    <w:rsid w:val="00C84541"/>
    <w:rsid w:val="00C84562"/>
    <w:rsid w:val="00C869E3"/>
    <w:rsid w:val="00C86DF8"/>
    <w:rsid w:val="00C90915"/>
    <w:rsid w:val="00C944D0"/>
    <w:rsid w:val="00CA005A"/>
    <w:rsid w:val="00CA00F1"/>
    <w:rsid w:val="00CA05A9"/>
    <w:rsid w:val="00CA2582"/>
    <w:rsid w:val="00CA2655"/>
    <w:rsid w:val="00CA6326"/>
    <w:rsid w:val="00CB2899"/>
    <w:rsid w:val="00CB2EE1"/>
    <w:rsid w:val="00CB3A44"/>
    <w:rsid w:val="00CB3EB6"/>
    <w:rsid w:val="00CB787E"/>
    <w:rsid w:val="00CC06DC"/>
    <w:rsid w:val="00CC1F30"/>
    <w:rsid w:val="00CC3F4B"/>
    <w:rsid w:val="00CC5104"/>
    <w:rsid w:val="00CC5924"/>
    <w:rsid w:val="00CC7873"/>
    <w:rsid w:val="00CD071B"/>
    <w:rsid w:val="00CD0E47"/>
    <w:rsid w:val="00CD1A6E"/>
    <w:rsid w:val="00CD26E3"/>
    <w:rsid w:val="00CD3F9A"/>
    <w:rsid w:val="00CD6441"/>
    <w:rsid w:val="00CD72A6"/>
    <w:rsid w:val="00CE6FA2"/>
    <w:rsid w:val="00CF1061"/>
    <w:rsid w:val="00CF10D5"/>
    <w:rsid w:val="00CF197C"/>
    <w:rsid w:val="00CF6543"/>
    <w:rsid w:val="00CF7244"/>
    <w:rsid w:val="00D00173"/>
    <w:rsid w:val="00D01BEE"/>
    <w:rsid w:val="00D02960"/>
    <w:rsid w:val="00D107CB"/>
    <w:rsid w:val="00D11FA0"/>
    <w:rsid w:val="00D12A09"/>
    <w:rsid w:val="00D132F8"/>
    <w:rsid w:val="00D13911"/>
    <w:rsid w:val="00D14098"/>
    <w:rsid w:val="00D141AF"/>
    <w:rsid w:val="00D149F7"/>
    <w:rsid w:val="00D164E2"/>
    <w:rsid w:val="00D173BC"/>
    <w:rsid w:val="00D21358"/>
    <w:rsid w:val="00D23C59"/>
    <w:rsid w:val="00D26306"/>
    <w:rsid w:val="00D32C46"/>
    <w:rsid w:val="00D34143"/>
    <w:rsid w:val="00D34493"/>
    <w:rsid w:val="00D35E64"/>
    <w:rsid w:val="00D412FA"/>
    <w:rsid w:val="00D44974"/>
    <w:rsid w:val="00D45990"/>
    <w:rsid w:val="00D47E24"/>
    <w:rsid w:val="00D509FF"/>
    <w:rsid w:val="00D50A76"/>
    <w:rsid w:val="00D537D0"/>
    <w:rsid w:val="00D54149"/>
    <w:rsid w:val="00D6244E"/>
    <w:rsid w:val="00D63108"/>
    <w:rsid w:val="00D6757F"/>
    <w:rsid w:val="00D67823"/>
    <w:rsid w:val="00D6788A"/>
    <w:rsid w:val="00D67CB6"/>
    <w:rsid w:val="00D73106"/>
    <w:rsid w:val="00D7492D"/>
    <w:rsid w:val="00D76713"/>
    <w:rsid w:val="00D823CE"/>
    <w:rsid w:val="00D858B8"/>
    <w:rsid w:val="00D8645B"/>
    <w:rsid w:val="00D90227"/>
    <w:rsid w:val="00D91D47"/>
    <w:rsid w:val="00D92DF7"/>
    <w:rsid w:val="00D94D65"/>
    <w:rsid w:val="00DA2FEF"/>
    <w:rsid w:val="00DA3737"/>
    <w:rsid w:val="00DB407B"/>
    <w:rsid w:val="00DB513F"/>
    <w:rsid w:val="00DB5A70"/>
    <w:rsid w:val="00DC2D10"/>
    <w:rsid w:val="00DC3944"/>
    <w:rsid w:val="00DC4B37"/>
    <w:rsid w:val="00DC51B3"/>
    <w:rsid w:val="00DC520E"/>
    <w:rsid w:val="00DC57FC"/>
    <w:rsid w:val="00DC76EB"/>
    <w:rsid w:val="00DC79F2"/>
    <w:rsid w:val="00DD03DD"/>
    <w:rsid w:val="00DD1E09"/>
    <w:rsid w:val="00DD1FD9"/>
    <w:rsid w:val="00DD2277"/>
    <w:rsid w:val="00DD252A"/>
    <w:rsid w:val="00DD3823"/>
    <w:rsid w:val="00DD4638"/>
    <w:rsid w:val="00DD64B7"/>
    <w:rsid w:val="00DE4062"/>
    <w:rsid w:val="00DE4EDF"/>
    <w:rsid w:val="00DE5DD2"/>
    <w:rsid w:val="00DF4775"/>
    <w:rsid w:val="00DF66B7"/>
    <w:rsid w:val="00DF67B2"/>
    <w:rsid w:val="00DF7DDC"/>
    <w:rsid w:val="00E0078D"/>
    <w:rsid w:val="00E0091A"/>
    <w:rsid w:val="00E00D1F"/>
    <w:rsid w:val="00E01E5C"/>
    <w:rsid w:val="00E03BEB"/>
    <w:rsid w:val="00E04690"/>
    <w:rsid w:val="00E074FD"/>
    <w:rsid w:val="00E113D8"/>
    <w:rsid w:val="00E1498F"/>
    <w:rsid w:val="00E16563"/>
    <w:rsid w:val="00E17E5C"/>
    <w:rsid w:val="00E20698"/>
    <w:rsid w:val="00E24F2E"/>
    <w:rsid w:val="00E25BA7"/>
    <w:rsid w:val="00E271AC"/>
    <w:rsid w:val="00E27371"/>
    <w:rsid w:val="00E30052"/>
    <w:rsid w:val="00E30812"/>
    <w:rsid w:val="00E3198A"/>
    <w:rsid w:val="00E31CCE"/>
    <w:rsid w:val="00E327CA"/>
    <w:rsid w:val="00E33672"/>
    <w:rsid w:val="00E3489B"/>
    <w:rsid w:val="00E34921"/>
    <w:rsid w:val="00E37308"/>
    <w:rsid w:val="00E41CA9"/>
    <w:rsid w:val="00E42B63"/>
    <w:rsid w:val="00E42E99"/>
    <w:rsid w:val="00E43307"/>
    <w:rsid w:val="00E44183"/>
    <w:rsid w:val="00E4584D"/>
    <w:rsid w:val="00E45BD3"/>
    <w:rsid w:val="00E4677B"/>
    <w:rsid w:val="00E47E34"/>
    <w:rsid w:val="00E523EB"/>
    <w:rsid w:val="00E53307"/>
    <w:rsid w:val="00E541B6"/>
    <w:rsid w:val="00E5547E"/>
    <w:rsid w:val="00E62198"/>
    <w:rsid w:val="00E65ED3"/>
    <w:rsid w:val="00E66CB9"/>
    <w:rsid w:val="00E67D36"/>
    <w:rsid w:val="00E75036"/>
    <w:rsid w:val="00E75B5D"/>
    <w:rsid w:val="00E76C27"/>
    <w:rsid w:val="00E811A5"/>
    <w:rsid w:val="00E81480"/>
    <w:rsid w:val="00E8180C"/>
    <w:rsid w:val="00E822DD"/>
    <w:rsid w:val="00E839F1"/>
    <w:rsid w:val="00E84B04"/>
    <w:rsid w:val="00E87427"/>
    <w:rsid w:val="00E913D8"/>
    <w:rsid w:val="00E91FAF"/>
    <w:rsid w:val="00E932E7"/>
    <w:rsid w:val="00E940EE"/>
    <w:rsid w:val="00E94D64"/>
    <w:rsid w:val="00E9788F"/>
    <w:rsid w:val="00EA0073"/>
    <w:rsid w:val="00EA06E0"/>
    <w:rsid w:val="00EA1784"/>
    <w:rsid w:val="00EA3F3F"/>
    <w:rsid w:val="00EB1BC0"/>
    <w:rsid w:val="00EB3AB3"/>
    <w:rsid w:val="00EB6778"/>
    <w:rsid w:val="00EC04D1"/>
    <w:rsid w:val="00EC0D41"/>
    <w:rsid w:val="00EC2054"/>
    <w:rsid w:val="00EC215B"/>
    <w:rsid w:val="00EC32E7"/>
    <w:rsid w:val="00EC61B8"/>
    <w:rsid w:val="00EC652F"/>
    <w:rsid w:val="00EC7441"/>
    <w:rsid w:val="00ED17D7"/>
    <w:rsid w:val="00ED25FC"/>
    <w:rsid w:val="00ED39DB"/>
    <w:rsid w:val="00ED490C"/>
    <w:rsid w:val="00ED4999"/>
    <w:rsid w:val="00ED5817"/>
    <w:rsid w:val="00ED7763"/>
    <w:rsid w:val="00ED7C1F"/>
    <w:rsid w:val="00EE1412"/>
    <w:rsid w:val="00EE1D47"/>
    <w:rsid w:val="00EE21E2"/>
    <w:rsid w:val="00EE2599"/>
    <w:rsid w:val="00EE51DE"/>
    <w:rsid w:val="00EE5A81"/>
    <w:rsid w:val="00EE6725"/>
    <w:rsid w:val="00EE7BF8"/>
    <w:rsid w:val="00EF0E00"/>
    <w:rsid w:val="00EF3029"/>
    <w:rsid w:val="00F03B29"/>
    <w:rsid w:val="00F04B48"/>
    <w:rsid w:val="00F057DD"/>
    <w:rsid w:val="00F062B4"/>
    <w:rsid w:val="00F113E3"/>
    <w:rsid w:val="00F12533"/>
    <w:rsid w:val="00F13825"/>
    <w:rsid w:val="00F1550D"/>
    <w:rsid w:val="00F15FC7"/>
    <w:rsid w:val="00F162F6"/>
    <w:rsid w:val="00F16687"/>
    <w:rsid w:val="00F16ABF"/>
    <w:rsid w:val="00F17349"/>
    <w:rsid w:val="00F21C0B"/>
    <w:rsid w:val="00F220F7"/>
    <w:rsid w:val="00F3292D"/>
    <w:rsid w:val="00F34A18"/>
    <w:rsid w:val="00F35CA4"/>
    <w:rsid w:val="00F37585"/>
    <w:rsid w:val="00F37B86"/>
    <w:rsid w:val="00F4221C"/>
    <w:rsid w:val="00F423AB"/>
    <w:rsid w:val="00F47FE8"/>
    <w:rsid w:val="00F502E2"/>
    <w:rsid w:val="00F50566"/>
    <w:rsid w:val="00F52814"/>
    <w:rsid w:val="00F563FC"/>
    <w:rsid w:val="00F575B1"/>
    <w:rsid w:val="00F57D6D"/>
    <w:rsid w:val="00F60D1D"/>
    <w:rsid w:val="00F62252"/>
    <w:rsid w:val="00F62E85"/>
    <w:rsid w:val="00F650ED"/>
    <w:rsid w:val="00F6545E"/>
    <w:rsid w:val="00F66942"/>
    <w:rsid w:val="00F70BE5"/>
    <w:rsid w:val="00F71059"/>
    <w:rsid w:val="00F712FC"/>
    <w:rsid w:val="00F73BA8"/>
    <w:rsid w:val="00F76C20"/>
    <w:rsid w:val="00F80EE9"/>
    <w:rsid w:val="00F84F0E"/>
    <w:rsid w:val="00F8793E"/>
    <w:rsid w:val="00F907FB"/>
    <w:rsid w:val="00F909F5"/>
    <w:rsid w:val="00F920A2"/>
    <w:rsid w:val="00F920A6"/>
    <w:rsid w:val="00F92AC4"/>
    <w:rsid w:val="00F957C8"/>
    <w:rsid w:val="00F95BCD"/>
    <w:rsid w:val="00FA22BB"/>
    <w:rsid w:val="00FA256F"/>
    <w:rsid w:val="00FA3BE7"/>
    <w:rsid w:val="00FA56FF"/>
    <w:rsid w:val="00FA5FC2"/>
    <w:rsid w:val="00FA7ED5"/>
    <w:rsid w:val="00FA7F13"/>
    <w:rsid w:val="00FB1395"/>
    <w:rsid w:val="00FB201D"/>
    <w:rsid w:val="00FB3D78"/>
    <w:rsid w:val="00FB73EE"/>
    <w:rsid w:val="00FC0059"/>
    <w:rsid w:val="00FC0C19"/>
    <w:rsid w:val="00FC4B0A"/>
    <w:rsid w:val="00FC5897"/>
    <w:rsid w:val="00FC6A53"/>
    <w:rsid w:val="00FD0760"/>
    <w:rsid w:val="00FD1BDB"/>
    <w:rsid w:val="00FD3042"/>
    <w:rsid w:val="00FD3D87"/>
    <w:rsid w:val="00FD46EE"/>
    <w:rsid w:val="00FD58EB"/>
    <w:rsid w:val="00FD670E"/>
    <w:rsid w:val="00FD69EE"/>
    <w:rsid w:val="00FD7626"/>
    <w:rsid w:val="00FD7D68"/>
    <w:rsid w:val="00FE014A"/>
    <w:rsid w:val="00FE24D6"/>
    <w:rsid w:val="00FE2E47"/>
    <w:rsid w:val="00FE7F55"/>
    <w:rsid w:val="00FF04EE"/>
    <w:rsid w:val="00FF0DC7"/>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9CACD2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outlineLvl w:val="2"/>
    </w:pPr>
    <w:rPr>
      <w:rFonts w:eastAsiaTheme="majorEastAsia" w:cstheme="majorBidi"/>
      <w:b/>
      <w:bCs/>
      <w:color w:val="4F81BD" w:themeColor="accent1"/>
    </w:rPr>
  </w:style>
  <w:style w:type="paragraph" w:styleId="Heading4">
    <w:name w:val="heading 4"/>
    <w:basedOn w:val="Normal"/>
    <w:next w:val="Normal"/>
    <w:link w:val="Heading4Char"/>
    <w:uiPriority w:val="9"/>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qFormat/>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3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DD252A"/>
    <w:pPr>
      <w:suppressLineNumbers/>
      <w:tabs>
        <w:tab w:val="left" w:pos="720"/>
        <w:tab w:val="right" w:leader="dot" w:pos="9530"/>
      </w:tabs>
      <w:spacing w:after="100" w:line="240" w:lineRule="auto"/>
    </w:pPr>
  </w:style>
  <w:style w:type="paragraph" w:styleId="TOC2">
    <w:name w:val="toc 2"/>
    <w:basedOn w:val="Normal"/>
    <w:next w:val="Normal"/>
    <w:autoRedefine/>
    <w:uiPriority w:val="39"/>
    <w:unhideWhenUsed/>
    <w:rsid w:val="0043384F"/>
    <w:pPr>
      <w:suppressLineNumbers/>
      <w:tabs>
        <w:tab w:val="left" w:pos="1440"/>
        <w:tab w:val="right" w:leader="dot" w:pos="9540"/>
      </w:tabs>
      <w:spacing w:after="100" w:line="240" w:lineRule="auto"/>
      <w:ind w:left="72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link w:val="FootnoteTextChar"/>
    <w:unhideWhenUsed/>
    <w:qFormat/>
    <w:rsid w:val="00B74AA3"/>
    <w:pPr>
      <w:spacing w:line="240" w:lineRule="auto"/>
      <w:contextualSpacing/>
    </w:pPr>
    <w:rPr>
      <w:rFonts w:ascii="Times New Roman" w:hAnsi="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B74AA3"/>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Revision">
    <w:name w:val="Revision"/>
    <w:hidden/>
    <w:uiPriority w:val="99"/>
    <w:semiHidden/>
    <w:rsid w:val="00EA06E0"/>
    <w:pPr>
      <w:spacing w:after="0" w:line="240" w:lineRule="auto"/>
    </w:pPr>
    <w:rPr>
      <w:rFonts w:ascii="Times New Roman" w:hAnsi="Times New Roman" w:cs="Times New Roman"/>
      <w:sz w:val="24"/>
      <w:szCs w:val="24"/>
    </w:rPr>
  </w:style>
  <w:style w:type="paragraph" w:styleId="BodyTextIndent2">
    <w:name w:val="Body Text Indent 2"/>
    <w:basedOn w:val="Normal"/>
    <w:link w:val="BodyTextIndent2Char"/>
    <w:uiPriority w:val="99"/>
    <w:semiHidden/>
    <w:unhideWhenUsed/>
    <w:rsid w:val="00376209"/>
    <w:pPr>
      <w:spacing w:after="120"/>
      <w:ind w:left="360"/>
    </w:pPr>
  </w:style>
  <w:style w:type="character" w:customStyle="1" w:styleId="BodyTextIndent2Char">
    <w:name w:val="Body Text Indent 2 Char"/>
    <w:basedOn w:val="DefaultParagraphFont"/>
    <w:link w:val="BodyTextIndent2"/>
    <w:uiPriority w:val="99"/>
    <w:semiHidden/>
    <w:rsid w:val="00376209"/>
    <w:rPr>
      <w:rFonts w:ascii="Times New Roman" w:hAnsi="Times New Roman" w:cs="Times New Roman"/>
      <w:sz w:val="24"/>
      <w:szCs w:val="24"/>
    </w:rPr>
  </w:style>
  <w:style w:type="paragraph" w:customStyle="1" w:styleId="answer">
    <w:name w:val="answer"/>
    <w:basedOn w:val="BodyTextIndent"/>
    <w:link w:val="answerChar"/>
    <w:rsid w:val="00231264"/>
    <w:pPr>
      <w:widowControl/>
      <w:tabs>
        <w:tab w:val="num" w:pos="-3420"/>
        <w:tab w:val="left" w:pos="-3330"/>
        <w:tab w:val="num" w:pos="360"/>
      </w:tabs>
      <w:autoSpaceDE/>
      <w:autoSpaceDN/>
      <w:adjustRightInd/>
      <w:spacing w:after="240"/>
      <w:ind w:left="720" w:right="360" w:hanging="720"/>
      <w:jc w:val="both"/>
    </w:pPr>
    <w:rPr>
      <w:rFonts w:eastAsia="Times New Roman"/>
    </w:rPr>
  </w:style>
  <w:style w:type="character" w:customStyle="1" w:styleId="answerChar">
    <w:name w:val="answer Char"/>
    <w:link w:val="answer"/>
    <w:rsid w:val="00231264"/>
    <w:rPr>
      <w:rFonts w:ascii="Times New Roman" w:eastAsia="Times New Roman" w:hAnsi="Times New Roman" w:cs="Times New Roman"/>
      <w:sz w:val="24"/>
      <w:szCs w:val="24"/>
    </w:rPr>
  </w:style>
  <w:style w:type="paragraph" w:customStyle="1" w:styleId="question">
    <w:name w:val="question"/>
    <w:basedOn w:val="Normal"/>
    <w:link w:val="questionChar"/>
    <w:rsid w:val="00231264"/>
    <w:pPr>
      <w:keepNext/>
      <w:keepLines/>
      <w:widowControl/>
      <w:tabs>
        <w:tab w:val="left" w:pos="720"/>
      </w:tabs>
      <w:autoSpaceDE/>
      <w:autoSpaceDN/>
      <w:adjustRightInd/>
      <w:ind w:left="720" w:hanging="720"/>
      <w:jc w:val="both"/>
    </w:pPr>
    <w:rPr>
      <w:rFonts w:eastAsia="Times New Roman"/>
      <w:b/>
    </w:rPr>
  </w:style>
  <w:style w:type="character" w:customStyle="1" w:styleId="questionChar">
    <w:name w:val="question Char"/>
    <w:link w:val="question"/>
    <w:rsid w:val="00231264"/>
    <w:rPr>
      <w:rFonts w:ascii="Times New Roman" w:eastAsia="Times New Roman" w:hAnsi="Times New Roman" w:cs="Times New Roman"/>
      <w:b/>
      <w:sz w:val="24"/>
      <w:szCs w:val="24"/>
    </w:rPr>
  </w:style>
  <w:style w:type="paragraph" w:styleId="BodyTextIndent">
    <w:name w:val="Body Text Indent"/>
    <w:basedOn w:val="Normal"/>
    <w:link w:val="BodyTextIndentChar"/>
    <w:uiPriority w:val="99"/>
    <w:semiHidden/>
    <w:unhideWhenUsed/>
    <w:rsid w:val="00231264"/>
    <w:pPr>
      <w:spacing w:after="120"/>
      <w:ind w:left="360"/>
    </w:pPr>
  </w:style>
  <w:style w:type="character" w:customStyle="1" w:styleId="BodyTextIndentChar">
    <w:name w:val="Body Text Indent Char"/>
    <w:basedOn w:val="DefaultParagraphFont"/>
    <w:link w:val="BodyTextIndent"/>
    <w:uiPriority w:val="99"/>
    <w:semiHidden/>
    <w:rsid w:val="00231264"/>
    <w:rPr>
      <w:rFonts w:ascii="Times New Roman" w:hAnsi="Times New Roman" w:cs="Times New Roman"/>
      <w:sz w:val="24"/>
      <w:szCs w:val="24"/>
    </w:rPr>
  </w:style>
  <w:style w:type="paragraph" w:customStyle="1" w:styleId="additionalparagraph">
    <w:name w:val="additional paragraph"/>
    <w:basedOn w:val="answer"/>
    <w:rsid w:val="007955E7"/>
    <w:pPr>
      <w:tabs>
        <w:tab w:val="clear" w:pos="-3420"/>
      </w:tabs>
      <w:spacing w:after="0"/>
      <w:ind w:firstLine="720"/>
    </w:pPr>
  </w:style>
  <w:style w:type="paragraph" w:customStyle="1" w:styleId="FOFCOL">
    <w:name w:val="FOF/COL"/>
    <w:basedOn w:val="BodyText"/>
    <w:rsid w:val="007B7FDB"/>
    <w:pPr>
      <w:spacing w:before="120" w:after="0" w:line="360" w:lineRule="auto"/>
      <w:ind w:left="720" w:hanging="720"/>
      <w:jc w:val="both"/>
    </w:pPr>
    <w:rPr>
      <w:rFonts w:ascii="Times New Roman" w:eastAsia="Times New Roman" w:hAnsi="Times New Roman" w:cs="Times New Roman"/>
      <w:snapToGrid w:val="0"/>
      <w:szCs w:val="20"/>
    </w:rPr>
  </w:style>
  <w:style w:type="paragraph" w:styleId="PlainText">
    <w:name w:val="Plain Text"/>
    <w:basedOn w:val="Normal"/>
    <w:link w:val="PlainTextChar"/>
    <w:uiPriority w:val="99"/>
    <w:rsid w:val="00CA2582"/>
    <w:pPr>
      <w:widowControl/>
      <w:autoSpaceDE/>
      <w:autoSpaceDN/>
      <w:adjustRightInd/>
      <w:spacing w:line="240" w:lineRule="auto"/>
    </w:pPr>
    <w:rPr>
      <w:rFonts w:ascii="Courier New" w:eastAsia="Times New Roman" w:hAnsi="Courier New"/>
      <w:sz w:val="20"/>
      <w:szCs w:val="20"/>
    </w:rPr>
  </w:style>
  <w:style w:type="character" w:customStyle="1" w:styleId="PlainTextChar">
    <w:name w:val="Plain Text Char"/>
    <w:basedOn w:val="DefaultParagraphFont"/>
    <w:link w:val="PlainText"/>
    <w:uiPriority w:val="99"/>
    <w:rsid w:val="00CA2582"/>
    <w:rPr>
      <w:rFonts w:ascii="Courier New" w:eastAsia="Times New Roman" w:hAnsi="Courier New" w:cs="Times New Roman"/>
      <w:sz w:val="20"/>
      <w:szCs w:val="20"/>
    </w:rPr>
  </w:style>
  <w:style w:type="paragraph" w:customStyle="1" w:styleId="Citation11">
    <w:name w:val="Citation 1.1"/>
    <w:basedOn w:val="Normal"/>
    <w:link w:val="Citation11Char"/>
    <w:qFormat/>
    <w:rsid w:val="001E32D3"/>
    <w:pPr>
      <w:widowControl/>
      <w:autoSpaceDE/>
      <w:autoSpaceDN/>
      <w:adjustRightInd/>
      <w:spacing w:before="60" w:after="60" w:line="240" w:lineRule="auto"/>
      <w:ind w:left="1440" w:right="1440"/>
      <w:jc w:val="both"/>
    </w:pPr>
    <w:rPr>
      <w:rFonts w:eastAsia="Times New Roman"/>
      <w:sz w:val="20"/>
      <w:szCs w:val="20"/>
    </w:rPr>
  </w:style>
  <w:style w:type="character" w:customStyle="1" w:styleId="bulletfor11Char">
    <w:name w:val="bullet for 1.1 Char"/>
    <w:basedOn w:val="DefaultParagraphFont"/>
    <w:link w:val="bulletfor11"/>
    <w:rsid w:val="001E32D3"/>
  </w:style>
  <w:style w:type="paragraph" w:customStyle="1" w:styleId="bulletfor11">
    <w:name w:val="bullet for 1.1"/>
    <w:basedOn w:val="Normal"/>
    <w:link w:val="bulletfor11Char"/>
    <w:qFormat/>
    <w:rsid w:val="001E32D3"/>
    <w:pPr>
      <w:widowControl/>
      <w:numPr>
        <w:numId w:val="43"/>
      </w:numPr>
      <w:autoSpaceDE/>
      <w:autoSpaceDN/>
      <w:adjustRightInd/>
      <w:spacing w:after="60" w:line="240" w:lineRule="auto"/>
      <w:jc w:val="both"/>
    </w:pPr>
    <w:rPr>
      <w:rFonts w:asciiTheme="minorHAnsi" w:hAnsiTheme="minorHAnsi" w:cstheme="minorBidi"/>
      <w:sz w:val="22"/>
      <w:szCs w:val="22"/>
    </w:rPr>
  </w:style>
  <w:style w:type="character" w:customStyle="1" w:styleId="Citation11Char">
    <w:name w:val="Citation 1.1 Char"/>
    <w:basedOn w:val="DefaultParagraphFont"/>
    <w:link w:val="Citation11"/>
    <w:rsid w:val="001E32D3"/>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CF6543"/>
    <w:rPr>
      <w:color w:val="605E5C"/>
      <w:shd w:val="clear" w:color="auto" w:fill="E1DFDD"/>
    </w:rPr>
  </w:style>
  <w:style w:type="paragraph" w:styleId="TOC3">
    <w:name w:val="toc 3"/>
    <w:basedOn w:val="Normal"/>
    <w:next w:val="Normal"/>
    <w:autoRedefine/>
    <w:uiPriority w:val="39"/>
    <w:unhideWhenUsed/>
    <w:rsid w:val="009C579C"/>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1988284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E0BDE-D7C9-4406-80FA-A0ED93E8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6670</Words>
  <Characters>36425</Characters>
  <Application>Microsoft Office Word</Application>
  <DocSecurity>0</DocSecurity>
  <Lines>303</Lines>
  <Paragraphs>86</Paragraphs>
  <ScaleCrop>false</ScaleCrop>
  <Company/>
  <LinksUpToDate>false</LinksUpToDate>
  <CharactersWithSpaces>43009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2021-10-27T21:55:00Z</dcterms:created>
  <dcterms:modified xsi:type="dcterms:W3CDTF">2021-10-27T21:55:00Z</dcterms:modified>
</cp:coreProperties>
</file>